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68" w:rsidRPr="00334168" w:rsidRDefault="00334168" w:rsidP="00334168">
      <w:pPr>
        <w:pStyle w:val="NoSpacing"/>
        <w:rPr>
          <w:rFonts w:ascii="Times New Roman" w:hAnsi="Times New Roman" w:cs="Times New Roman"/>
          <w:sz w:val="24"/>
          <w:szCs w:val="24"/>
        </w:rPr>
      </w:pPr>
      <w:bookmarkStart w:id="0" w:name="_GoBack"/>
      <w:bookmarkEnd w:id="0"/>
      <w:r w:rsidRPr="00334168">
        <w:rPr>
          <w:rFonts w:ascii="Times New Roman" w:hAnsi="Times New Roman" w:cs="Times New Roman"/>
          <w:sz w:val="24"/>
          <w:szCs w:val="24"/>
        </w:rPr>
        <w:t>HIST 246</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Fall 2017</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Modern Middle East and North Africa</w:t>
      </w:r>
    </w:p>
    <w:p w:rsidR="00334168" w:rsidRPr="00334168" w:rsidRDefault="00334168" w:rsidP="00334168">
      <w:pPr>
        <w:pStyle w:val="NoSpacing"/>
        <w:rPr>
          <w:rFonts w:ascii="Times New Roman" w:hAnsi="Times New Roman" w:cs="Times New Roman"/>
          <w:sz w:val="24"/>
          <w:szCs w:val="24"/>
        </w:rPr>
      </w:pP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Place:</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UNIV 201</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 xml:space="preserve">Day and Time: </w:t>
      </w:r>
      <w:r w:rsidRPr="00334168">
        <w:rPr>
          <w:rFonts w:ascii="Times New Roman" w:hAnsi="Times New Roman" w:cs="Times New Roman"/>
          <w:sz w:val="24"/>
          <w:szCs w:val="24"/>
        </w:rPr>
        <w:tab/>
        <w:t>Tuesday/Thursday 12:00 pm-1:15 pm</w:t>
      </w:r>
    </w:p>
    <w:p w:rsidR="00334168" w:rsidRPr="00334168" w:rsidRDefault="00334168" w:rsidP="00334168">
      <w:pPr>
        <w:pStyle w:val="NoSpacing"/>
        <w:rPr>
          <w:rFonts w:ascii="Times New Roman" w:hAnsi="Times New Roman" w:cs="Times New Roman"/>
          <w:sz w:val="24"/>
          <w:szCs w:val="24"/>
        </w:rPr>
      </w:pP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Instructor:</w:t>
      </w:r>
      <w:r w:rsidRPr="00334168">
        <w:rPr>
          <w:rFonts w:ascii="Times New Roman" w:hAnsi="Times New Roman" w:cs="Times New Roman"/>
          <w:sz w:val="24"/>
          <w:szCs w:val="24"/>
        </w:rPr>
        <w:tab/>
      </w:r>
      <w:r w:rsidRPr="00334168">
        <w:rPr>
          <w:rFonts w:ascii="Times New Roman" w:hAnsi="Times New Roman" w:cs="Times New Roman"/>
          <w:sz w:val="24"/>
          <w:szCs w:val="24"/>
        </w:rPr>
        <w:tab/>
        <w:t>Professor Holden</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Office:</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UNIV 127</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Office Hours:</w:t>
      </w:r>
      <w:r w:rsidRPr="00334168">
        <w:rPr>
          <w:rFonts w:ascii="Times New Roman" w:hAnsi="Times New Roman" w:cs="Times New Roman"/>
          <w:sz w:val="24"/>
          <w:szCs w:val="24"/>
        </w:rPr>
        <w:tab/>
      </w:r>
      <w:r w:rsidRPr="00334168">
        <w:rPr>
          <w:rFonts w:ascii="Times New Roman" w:hAnsi="Times New Roman" w:cs="Times New Roman"/>
          <w:sz w:val="24"/>
          <w:szCs w:val="24"/>
        </w:rPr>
        <w:tab/>
        <w:t>Tuesday/Thursday 9:15-10:15 am</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Email:</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sholden@purdue.edu</w:t>
      </w:r>
    </w:p>
    <w:p w:rsidR="00334168" w:rsidRPr="00334168" w:rsidRDefault="00334168" w:rsidP="00334168">
      <w:pPr>
        <w:pStyle w:val="NoSpacing"/>
        <w:rPr>
          <w:rFonts w:ascii="Times New Roman" w:hAnsi="Times New Roman" w:cs="Times New Roman"/>
          <w:sz w:val="24"/>
          <w:szCs w:val="24"/>
        </w:rPr>
      </w:pP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TA:</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Lama El Sharief</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Office:</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REC 402</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Office Hours:</w:t>
      </w:r>
      <w:r w:rsidRPr="00334168">
        <w:rPr>
          <w:rFonts w:ascii="Times New Roman" w:hAnsi="Times New Roman" w:cs="Times New Roman"/>
          <w:sz w:val="24"/>
          <w:szCs w:val="24"/>
        </w:rPr>
        <w:tab/>
      </w:r>
      <w:r w:rsidRPr="00334168">
        <w:rPr>
          <w:rFonts w:ascii="Times New Roman" w:hAnsi="Times New Roman" w:cs="Times New Roman"/>
          <w:sz w:val="24"/>
          <w:szCs w:val="24"/>
        </w:rPr>
        <w:tab/>
        <w:t>Wed 12 noon-2 pm</w:t>
      </w:r>
    </w:p>
    <w:p w:rsidR="00334168" w:rsidRPr="00334168" w:rsidRDefault="00334168" w:rsidP="00334168">
      <w:pPr>
        <w:pStyle w:val="NoSpacing"/>
        <w:rPr>
          <w:rFonts w:ascii="Times New Roman" w:hAnsi="Times New Roman" w:cs="Times New Roman"/>
          <w:sz w:val="24"/>
          <w:szCs w:val="24"/>
        </w:rPr>
      </w:pPr>
      <w:r w:rsidRPr="00334168">
        <w:rPr>
          <w:rFonts w:ascii="Times New Roman" w:hAnsi="Times New Roman" w:cs="Times New Roman"/>
          <w:sz w:val="24"/>
          <w:szCs w:val="24"/>
        </w:rPr>
        <w:t>Email:</w:t>
      </w:r>
      <w:r w:rsidRPr="00334168">
        <w:rPr>
          <w:rFonts w:ascii="Times New Roman" w:hAnsi="Times New Roman" w:cs="Times New Roman"/>
          <w:sz w:val="24"/>
          <w:szCs w:val="24"/>
        </w:rPr>
        <w:tab/>
      </w:r>
      <w:r w:rsidRPr="00334168">
        <w:rPr>
          <w:rFonts w:ascii="Times New Roman" w:hAnsi="Times New Roman" w:cs="Times New Roman"/>
          <w:sz w:val="24"/>
          <w:szCs w:val="24"/>
        </w:rPr>
        <w:tab/>
      </w:r>
      <w:r w:rsidRPr="00334168">
        <w:rPr>
          <w:rFonts w:ascii="Times New Roman" w:hAnsi="Times New Roman" w:cs="Times New Roman"/>
          <w:sz w:val="24"/>
          <w:szCs w:val="24"/>
        </w:rPr>
        <w:tab/>
        <w:t>lelshari@purdue.edu</w:t>
      </w:r>
    </w:p>
    <w:p w:rsidR="00334168" w:rsidRPr="00334168" w:rsidRDefault="00334168" w:rsidP="00334168">
      <w:pPr>
        <w:pStyle w:val="NoSpacing"/>
        <w:rPr>
          <w:rFonts w:ascii="Times New Roman" w:hAnsi="Times New Roman" w:cs="Times New Roman"/>
          <w:sz w:val="24"/>
          <w:szCs w:val="24"/>
        </w:rPr>
      </w:pPr>
    </w:p>
    <w:p w:rsidR="00334168" w:rsidRDefault="00334168" w:rsidP="00334168">
      <w:pPr>
        <w:pStyle w:val="Default"/>
        <w:jc w:val="both"/>
        <w:rPr>
          <w:szCs w:val="23"/>
        </w:rPr>
      </w:pPr>
      <w:r>
        <w:rPr>
          <w:szCs w:val="23"/>
        </w:rPr>
        <w:t xml:space="preserve">With a focus on women and children as well as the political events and conditions shaped largely by the men who dominate political institutions, this course analyzes the history of the Middle East and North Africa from the early-nineteenth century to the present day.  In tracing the history of this region, students examine colonialism, nationalism, political Islam, and terrorism. For each period, I will draw your attention to specific country studies, and these include such hot spots as Algeria, Egypt, Iraq, Iran and Israel/Palestine.  For 200 years, peoples in the Arab-Islamic world have been grappling </w:t>
      </w:r>
      <w:r>
        <w:rPr>
          <w:szCs w:val="23"/>
        </w:rPr>
        <w:lastRenderedPageBreak/>
        <w:t xml:space="preserve">with issues of democracy, religion and national identity as well as conflicting reactions toward Western intervention in a variety of forms. In this class, students will explore the political, social and cultural factors that have contributed to the formation of the Middle East and North Africa through readings from textbooks, primary sources and ethnographic films. </w:t>
      </w:r>
    </w:p>
    <w:p w:rsidR="00334168" w:rsidRDefault="00334168" w:rsidP="00334168">
      <w:pPr>
        <w:pStyle w:val="Default"/>
        <w:jc w:val="both"/>
        <w:rPr>
          <w:szCs w:val="23"/>
          <w:u w:val="single"/>
        </w:rPr>
      </w:pPr>
    </w:p>
    <w:p w:rsidR="00334168" w:rsidRPr="004326D2" w:rsidRDefault="00334168" w:rsidP="00334168">
      <w:pPr>
        <w:pStyle w:val="Default"/>
        <w:jc w:val="both"/>
        <w:rPr>
          <w:szCs w:val="23"/>
        </w:rPr>
      </w:pPr>
      <w:r>
        <w:rPr>
          <w:szCs w:val="23"/>
          <w:u w:val="single"/>
        </w:rPr>
        <w:t>Learning Outcomes</w:t>
      </w:r>
    </w:p>
    <w:p w:rsidR="00334168" w:rsidRPr="006D5CCD" w:rsidRDefault="00334168" w:rsidP="00334168">
      <w:pPr>
        <w:pStyle w:val="Default"/>
        <w:numPr>
          <w:ilvl w:val="0"/>
          <w:numId w:val="4"/>
        </w:numPr>
        <w:jc w:val="both"/>
        <w:rPr>
          <w:i/>
          <w:szCs w:val="23"/>
          <w:u w:val="single"/>
        </w:rPr>
      </w:pPr>
      <w:r w:rsidRPr="006D5CCD">
        <w:rPr>
          <w:i/>
          <w:szCs w:val="23"/>
        </w:rPr>
        <w:t>Topical</w:t>
      </w:r>
    </w:p>
    <w:p w:rsidR="00334168" w:rsidRDefault="00334168" w:rsidP="00334168">
      <w:pPr>
        <w:pStyle w:val="Default"/>
        <w:ind w:left="720"/>
        <w:jc w:val="both"/>
        <w:rPr>
          <w:szCs w:val="23"/>
        </w:rPr>
      </w:pPr>
      <w:r>
        <w:rPr>
          <w:szCs w:val="23"/>
        </w:rPr>
        <w:t>--</w:t>
      </w:r>
      <w:r w:rsidRPr="0063043A">
        <w:rPr>
          <w:szCs w:val="23"/>
        </w:rPr>
        <w:t>To</w:t>
      </w:r>
      <w:r>
        <w:rPr>
          <w:szCs w:val="23"/>
        </w:rPr>
        <w:t xml:space="preserve"> improve general understandings of the political and social life of the Arab world.</w:t>
      </w:r>
    </w:p>
    <w:p w:rsidR="00334168" w:rsidRPr="0063043A" w:rsidRDefault="00334168" w:rsidP="00334168">
      <w:pPr>
        <w:pStyle w:val="Default"/>
        <w:ind w:left="720"/>
        <w:jc w:val="both"/>
        <w:rPr>
          <w:szCs w:val="23"/>
          <w:u w:val="single"/>
        </w:rPr>
      </w:pPr>
      <w:r>
        <w:rPr>
          <w:szCs w:val="23"/>
        </w:rPr>
        <w:t xml:space="preserve">--To increase understandings of the forces--beyond Islam--that shape conditions in the Arab world, like the environment, food provisioning and penury, social justice, a desire for upward mobility, foreign interventions, and a strong need to control national resources.   </w:t>
      </w:r>
    </w:p>
    <w:p w:rsidR="00334168" w:rsidRPr="0063043A" w:rsidRDefault="00334168" w:rsidP="00334168">
      <w:pPr>
        <w:pStyle w:val="Default"/>
        <w:ind w:left="720"/>
        <w:jc w:val="both"/>
        <w:rPr>
          <w:szCs w:val="23"/>
          <w:u w:val="single"/>
        </w:rPr>
      </w:pPr>
      <w:r>
        <w:rPr>
          <w:szCs w:val="23"/>
        </w:rPr>
        <w:t xml:space="preserve">--To consider how women and children (i.e. the demographic majority) are impacted by </w:t>
      </w:r>
      <w:r w:rsidRPr="007E7E44">
        <w:rPr>
          <w:szCs w:val="23"/>
          <w:u w:val="single"/>
        </w:rPr>
        <w:t>and also impact</w:t>
      </w:r>
      <w:r>
        <w:rPr>
          <w:szCs w:val="23"/>
        </w:rPr>
        <w:t xml:space="preserve"> what are often male-dominated political institutions within the Arab world. </w:t>
      </w:r>
    </w:p>
    <w:p w:rsidR="00334168" w:rsidRPr="006D5CCD" w:rsidRDefault="00334168" w:rsidP="00334168">
      <w:pPr>
        <w:pStyle w:val="Default"/>
        <w:numPr>
          <w:ilvl w:val="0"/>
          <w:numId w:val="4"/>
        </w:numPr>
        <w:jc w:val="both"/>
        <w:rPr>
          <w:i/>
          <w:szCs w:val="23"/>
          <w:u w:val="single"/>
        </w:rPr>
      </w:pPr>
      <w:r w:rsidRPr="006D5CCD">
        <w:rPr>
          <w:i/>
          <w:szCs w:val="23"/>
        </w:rPr>
        <w:t>Analytical</w:t>
      </w:r>
    </w:p>
    <w:p w:rsidR="00334168" w:rsidRDefault="00334168" w:rsidP="00334168">
      <w:pPr>
        <w:pStyle w:val="Default"/>
        <w:ind w:left="720"/>
        <w:jc w:val="both"/>
        <w:rPr>
          <w:szCs w:val="23"/>
        </w:rPr>
      </w:pPr>
      <w:r>
        <w:rPr>
          <w:szCs w:val="23"/>
        </w:rPr>
        <w:t>--To improve your writing skills.</w:t>
      </w:r>
    </w:p>
    <w:p w:rsidR="00334168" w:rsidRDefault="00334168" w:rsidP="00334168">
      <w:pPr>
        <w:pStyle w:val="Default"/>
        <w:ind w:left="720"/>
        <w:jc w:val="both"/>
        <w:rPr>
          <w:szCs w:val="23"/>
        </w:rPr>
      </w:pPr>
      <w:r>
        <w:rPr>
          <w:szCs w:val="23"/>
        </w:rPr>
        <w:t>--To stimulate consideration of complex issues in order to improve skills of analysis.</w:t>
      </w:r>
    </w:p>
    <w:p w:rsidR="00334168" w:rsidRPr="0063043A" w:rsidRDefault="00334168" w:rsidP="00334168">
      <w:pPr>
        <w:pStyle w:val="Default"/>
        <w:ind w:left="720"/>
        <w:jc w:val="both"/>
        <w:rPr>
          <w:szCs w:val="23"/>
          <w:u w:val="single"/>
        </w:rPr>
      </w:pPr>
      <w:r>
        <w:rPr>
          <w:szCs w:val="23"/>
        </w:rPr>
        <w:t xml:space="preserve">--To converse about ideas in a group and so improve verbal communication. </w:t>
      </w:r>
    </w:p>
    <w:p w:rsidR="00334168" w:rsidRDefault="00334168" w:rsidP="00334168">
      <w:pPr>
        <w:pStyle w:val="Default"/>
        <w:jc w:val="both"/>
        <w:rPr>
          <w:szCs w:val="23"/>
        </w:rPr>
      </w:pPr>
    </w:p>
    <w:p w:rsidR="00334168" w:rsidRPr="00240A20" w:rsidRDefault="00334168" w:rsidP="00334168">
      <w:pPr>
        <w:autoSpaceDE w:val="0"/>
        <w:autoSpaceDN w:val="0"/>
        <w:adjustRightInd w:val="0"/>
        <w:jc w:val="both"/>
        <w:rPr>
          <w:color w:val="000000"/>
          <w:szCs w:val="23"/>
        </w:rPr>
      </w:pPr>
      <w:r w:rsidRPr="00240A20">
        <w:rPr>
          <w:color w:val="000000"/>
          <w:szCs w:val="23"/>
        </w:rPr>
        <w:lastRenderedPageBreak/>
        <w:t xml:space="preserve">Basically, this class attends to the five skills that </w:t>
      </w:r>
      <w:r w:rsidRPr="00240A20">
        <w:rPr>
          <w:i/>
          <w:color w:val="000000"/>
          <w:szCs w:val="23"/>
        </w:rPr>
        <w:t>USA Today</w:t>
      </w:r>
      <w:r w:rsidRPr="00240A20">
        <w:rPr>
          <w:color w:val="000000"/>
          <w:szCs w:val="23"/>
        </w:rPr>
        <w:t xml:space="preserve"> (</w:t>
      </w:r>
      <w:hyperlink r:id="rId7" w:history="1">
        <w:r w:rsidRPr="00240A20">
          <w:rPr>
            <w:color w:val="0000FF"/>
            <w:szCs w:val="23"/>
            <w:u w:val="single"/>
          </w:rPr>
          <w:t>https://www.usatoday.com/story/money/personalfinance/2015/05/03/cheat-sheet-skills-college-grads-job/26574631/</w:t>
        </w:r>
      </w:hyperlink>
      <w:r w:rsidRPr="00240A20">
        <w:rPr>
          <w:color w:val="000000"/>
          <w:szCs w:val="23"/>
        </w:rPr>
        <w:t xml:space="preserve">) marks as critical for making a positive impression on employers: ability to interact with people, problem-solving skills, oral communication, and written communication.  </w:t>
      </w:r>
    </w:p>
    <w:p w:rsidR="00334168" w:rsidRDefault="00334168" w:rsidP="00334168">
      <w:pPr>
        <w:pStyle w:val="Default"/>
        <w:jc w:val="both"/>
        <w:rPr>
          <w:szCs w:val="23"/>
        </w:rPr>
      </w:pPr>
    </w:p>
    <w:p w:rsidR="00334168" w:rsidRDefault="00334168" w:rsidP="00334168">
      <w:pPr>
        <w:pStyle w:val="Default"/>
        <w:jc w:val="both"/>
        <w:rPr>
          <w:szCs w:val="23"/>
        </w:rPr>
      </w:pPr>
      <w:r>
        <w:rPr>
          <w:szCs w:val="23"/>
          <w:u w:val="single"/>
        </w:rPr>
        <w:t>Class Preparations</w:t>
      </w:r>
      <w:r>
        <w:rPr>
          <w:szCs w:val="23"/>
        </w:rPr>
        <w:t xml:space="preserve">: The assignment for each class is listed </w:t>
      </w:r>
      <w:r>
        <w:rPr>
          <w:i/>
          <w:iCs/>
          <w:szCs w:val="23"/>
        </w:rPr>
        <w:t>underneath</w:t>
      </w:r>
      <w:r>
        <w:rPr>
          <w:szCs w:val="23"/>
        </w:rPr>
        <w:t xml:space="preserve"> the specific day and lecture.  Students are expected to prepare the assignments for each topic </w:t>
      </w:r>
      <w:r>
        <w:rPr>
          <w:i/>
          <w:iCs/>
          <w:szCs w:val="23"/>
        </w:rPr>
        <w:t xml:space="preserve">before </w:t>
      </w:r>
      <w:r>
        <w:rPr>
          <w:szCs w:val="23"/>
        </w:rPr>
        <w:t>each class meeting.</w:t>
      </w:r>
    </w:p>
    <w:p w:rsidR="00334168" w:rsidRDefault="00334168" w:rsidP="00334168">
      <w:pPr>
        <w:pStyle w:val="Default"/>
        <w:jc w:val="both"/>
        <w:rPr>
          <w:szCs w:val="23"/>
        </w:rPr>
      </w:pPr>
    </w:p>
    <w:p w:rsidR="00334168" w:rsidRDefault="00334168" w:rsidP="00334168">
      <w:pPr>
        <w:pStyle w:val="Default"/>
        <w:numPr>
          <w:ilvl w:val="0"/>
          <w:numId w:val="1"/>
        </w:numPr>
        <w:jc w:val="both"/>
        <w:rPr>
          <w:szCs w:val="23"/>
        </w:rPr>
      </w:pPr>
      <w:r>
        <w:rPr>
          <w:szCs w:val="23"/>
        </w:rPr>
        <w:t xml:space="preserve">MOVIES: </w:t>
      </w:r>
      <w:r>
        <w:rPr>
          <w:szCs w:val="23"/>
          <w:u w:val="single"/>
        </w:rPr>
        <w:t>Class Preparations</w:t>
      </w:r>
      <w:r>
        <w:rPr>
          <w:szCs w:val="23"/>
        </w:rPr>
        <w:t xml:space="preserve"> may call on students to watch a movie before class (like, </w:t>
      </w:r>
      <w:r>
        <w:rPr>
          <w:i/>
          <w:szCs w:val="23"/>
        </w:rPr>
        <w:t xml:space="preserve">The Battle of </w:t>
      </w:r>
      <w:r w:rsidRPr="00787E41">
        <w:rPr>
          <w:i/>
          <w:szCs w:val="23"/>
        </w:rPr>
        <w:t>Algiers</w:t>
      </w:r>
      <w:r>
        <w:rPr>
          <w:szCs w:val="23"/>
        </w:rPr>
        <w:t>, 9/26).  The movie will then be uploaded to HIST 246 Blackboard.</w:t>
      </w:r>
    </w:p>
    <w:p w:rsidR="00334168" w:rsidRDefault="00334168" w:rsidP="00334168">
      <w:pPr>
        <w:pStyle w:val="Default"/>
        <w:ind w:left="360"/>
        <w:jc w:val="both"/>
        <w:rPr>
          <w:szCs w:val="23"/>
        </w:rPr>
      </w:pPr>
    </w:p>
    <w:p w:rsidR="00334168" w:rsidRDefault="00334168" w:rsidP="00334168">
      <w:pPr>
        <w:pStyle w:val="Default"/>
        <w:numPr>
          <w:ilvl w:val="0"/>
          <w:numId w:val="1"/>
        </w:numPr>
        <w:jc w:val="both"/>
        <w:rPr>
          <w:szCs w:val="23"/>
        </w:rPr>
      </w:pPr>
      <w:r>
        <w:rPr>
          <w:szCs w:val="23"/>
        </w:rPr>
        <w:t xml:space="preserve">ARTICLES: Some readings are on Blackboard or online at the Purdue Library.  </w:t>
      </w:r>
    </w:p>
    <w:p w:rsidR="00334168" w:rsidRDefault="00334168" w:rsidP="00334168">
      <w:pPr>
        <w:pStyle w:val="Default"/>
        <w:jc w:val="both"/>
        <w:rPr>
          <w:szCs w:val="23"/>
        </w:rPr>
      </w:pPr>
    </w:p>
    <w:p w:rsidR="00334168" w:rsidRDefault="00334168" w:rsidP="00334168">
      <w:pPr>
        <w:pStyle w:val="Default"/>
        <w:numPr>
          <w:ilvl w:val="0"/>
          <w:numId w:val="1"/>
        </w:numPr>
        <w:jc w:val="both"/>
        <w:rPr>
          <w:szCs w:val="23"/>
        </w:rPr>
      </w:pPr>
      <w:r>
        <w:rPr>
          <w:szCs w:val="23"/>
        </w:rPr>
        <w:t>TEXTBOOKS: I am requesting that you acquire three books:</w:t>
      </w:r>
    </w:p>
    <w:p w:rsidR="00334168" w:rsidRDefault="00334168" w:rsidP="00334168">
      <w:pPr>
        <w:pStyle w:val="Default"/>
        <w:numPr>
          <w:ilvl w:val="1"/>
          <w:numId w:val="1"/>
        </w:numPr>
        <w:jc w:val="both"/>
        <w:rPr>
          <w:szCs w:val="23"/>
        </w:rPr>
      </w:pPr>
      <w:r>
        <w:rPr>
          <w:szCs w:val="23"/>
        </w:rPr>
        <w:t xml:space="preserve">William L. Cleveland and Martin Bunton, </w:t>
      </w:r>
      <w:r>
        <w:rPr>
          <w:i/>
          <w:iCs/>
          <w:szCs w:val="23"/>
        </w:rPr>
        <w:t>A History of the Modern Middle East</w:t>
      </w:r>
      <w:r>
        <w:rPr>
          <w:szCs w:val="23"/>
        </w:rPr>
        <w:t>, 6th Edition (Westview Press, 2016).</w:t>
      </w:r>
    </w:p>
    <w:p w:rsidR="00334168" w:rsidRDefault="00334168" w:rsidP="00334168">
      <w:pPr>
        <w:pStyle w:val="Default"/>
        <w:numPr>
          <w:ilvl w:val="1"/>
          <w:numId w:val="1"/>
        </w:numPr>
        <w:jc w:val="both"/>
        <w:rPr>
          <w:szCs w:val="23"/>
        </w:rPr>
      </w:pPr>
      <w:r w:rsidRPr="00565621">
        <w:rPr>
          <w:szCs w:val="23"/>
        </w:rPr>
        <w:t xml:space="preserve">Karnig Panian, </w:t>
      </w:r>
      <w:r w:rsidRPr="00806D88">
        <w:rPr>
          <w:i/>
          <w:szCs w:val="23"/>
        </w:rPr>
        <w:t>Goodbye Antoura: A Memoir of the Armenian Genocide</w:t>
      </w:r>
      <w:r w:rsidRPr="00565621">
        <w:rPr>
          <w:szCs w:val="23"/>
        </w:rPr>
        <w:t xml:space="preserve"> (Stanford University Press, 2015).  </w:t>
      </w:r>
    </w:p>
    <w:p w:rsidR="00334168" w:rsidRDefault="00334168" w:rsidP="00334168">
      <w:pPr>
        <w:pStyle w:val="Default"/>
        <w:numPr>
          <w:ilvl w:val="1"/>
          <w:numId w:val="1"/>
        </w:numPr>
        <w:jc w:val="both"/>
        <w:rPr>
          <w:szCs w:val="23"/>
        </w:rPr>
      </w:pPr>
      <w:r>
        <w:rPr>
          <w:szCs w:val="23"/>
        </w:rPr>
        <w:t xml:space="preserve">Riverbend, </w:t>
      </w:r>
      <w:r w:rsidRPr="00B71346">
        <w:rPr>
          <w:i/>
          <w:szCs w:val="23"/>
        </w:rPr>
        <w:t>Baghdad Burning: Girl Blog from Iraq</w:t>
      </w:r>
      <w:r>
        <w:rPr>
          <w:szCs w:val="23"/>
        </w:rPr>
        <w:t xml:space="preserve"> (The Feminist Press at CUNY, 2005).</w:t>
      </w:r>
    </w:p>
    <w:p w:rsidR="00334168" w:rsidRPr="00A77E44" w:rsidRDefault="00334168" w:rsidP="005F2700">
      <w:pPr>
        <w:pStyle w:val="Default"/>
        <w:jc w:val="both"/>
        <w:rPr>
          <w:szCs w:val="23"/>
        </w:rPr>
      </w:pPr>
    </w:p>
    <w:p w:rsidR="00334168" w:rsidRDefault="00334168" w:rsidP="00334168">
      <w:pPr>
        <w:pStyle w:val="Default"/>
        <w:jc w:val="both"/>
        <w:rPr>
          <w:szCs w:val="23"/>
        </w:rPr>
      </w:pPr>
      <w:r>
        <w:rPr>
          <w:szCs w:val="23"/>
          <w:u w:val="single"/>
        </w:rPr>
        <w:t>Course Requirements</w:t>
      </w:r>
      <w:r>
        <w:rPr>
          <w:szCs w:val="23"/>
        </w:rPr>
        <w:t xml:space="preserve">: </w:t>
      </w:r>
    </w:p>
    <w:p w:rsidR="00334168" w:rsidRDefault="00334168" w:rsidP="00334168">
      <w:pPr>
        <w:pStyle w:val="Default"/>
        <w:jc w:val="both"/>
        <w:rPr>
          <w:szCs w:val="23"/>
        </w:rPr>
      </w:pPr>
    </w:p>
    <w:p w:rsidR="00334168" w:rsidRDefault="00334168" w:rsidP="00334168">
      <w:pPr>
        <w:pStyle w:val="Default"/>
        <w:jc w:val="both"/>
        <w:rPr>
          <w:szCs w:val="23"/>
        </w:rPr>
      </w:pPr>
      <w:r>
        <w:rPr>
          <w:szCs w:val="23"/>
        </w:rPr>
        <w:t xml:space="preserve">Take Home Exam #1 15% </w:t>
      </w:r>
    </w:p>
    <w:p w:rsidR="00334168" w:rsidRDefault="00334168" w:rsidP="00334168">
      <w:pPr>
        <w:pStyle w:val="Default"/>
        <w:jc w:val="both"/>
        <w:rPr>
          <w:szCs w:val="23"/>
        </w:rPr>
      </w:pPr>
      <w:r>
        <w:rPr>
          <w:szCs w:val="23"/>
        </w:rPr>
        <w:t xml:space="preserve">Take Home Exam #2 25%  </w:t>
      </w:r>
    </w:p>
    <w:p w:rsidR="00334168" w:rsidRDefault="00334168" w:rsidP="00334168">
      <w:pPr>
        <w:pStyle w:val="Default"/>
        <w:jc w:val="both"/>
        <w:rPr>
          <w:szCs w:val="23"/>
        </w:rPr>
      </w:pPr>
      <w:r>
        <w:rPr>
          <w:szCs w:val="23"/>
        </w:rPr>
        <w:t xml:space="preserve">Book Review #1 20% </w:t>
      </w:r>
    </w:p>
    <w:p w:rsidR="00334168" w:rsidRDefault="00334168" w:rsidP="00334168">
      <w:pPr>
        <w:pStyle w:val="Default"/>
        <w:jc w:val="both"/>
        <w:rPr>
          <w:szCs w:val="23"/>
        </w:rPr>
      </w:pPr>
      <w:r>
        <w:rPr>
          <w:szCs w:val="23"/>
        </w:rPr>
        <w:t>Book Review #2 30%</w:t>
      </w:r>
    </w:p>
    <w:p w:rsidR="00334168" w:rsidRDefault="00334168" w:rsidP="00334168">
      <w:pPr>
        <w:pStyle w:val="Default"/>
        <w:jc w:val="both"/>
        <w:rPr>
          <w:szCs w:val="23"/>
        </w:rPr>
      </w:pPr>
      <w:r>
        <w:rPr>
          <w:szCs w:val="23"/>
        </w:rPr>
        <w:t xml:space="preserve">Attendance and Participation 10% </w:t>
      </w:r>
    </w:p>
    <w:p w:rsidR="00334168" w:rsidRDefault="00334168" w:rsidP="00334168">
      <w:pPr>
        <w:pStyle w:val="Default"/>
        <w:jc w:val="both"/>
        <w:rPr>
          <w:szCs w:val="23"/>
        </w:rPr>
      </w:pPr>
    </w:p>
    <w:p w:rsidR="00334168" w:rsidRDefault="00334168" w:rsidP="00334168">
      <w:pPr>
        <w:pStyle w:val="Default"/>
        <w:jc w:val="both"/>
        <w:rPr>
          <w:szCs w:val="23"/>
        </w:rPr>
      </w:pPr>
      <w:r>
        <w:rPr>
          <w:szCs w:val="23"/>
        </w:rPr>
        <w:t xml:space="preserve">This class requires that you write an </w:t>
      </w:r>
      <w:r>
        <w:rPr>
          <w:b/>
          <w:bCs/>
          <w:i/>
          <w:iCs/>
          <w:szCs w:val="23"/>
        </w:rPr>
        <w:t xml:space="preserve">analytical review of two books.  </w:t>
      </w:r>
      <w:r>
        <w:rPr>
          <w:bCs/>
          <w:iCs/>
          <w:szCs w:val="23"/>
        </w:rPr>
        <w:t xml:space="preserve">You may choose to write on </w:t>
      </w:r>
      <w:r>
        <w:rPr>
          <w:szCs w:val="23"/>
        </w:rPr>
        <w:t>Karnig Panian’s</w:t>
      </w:r>
      <w:r w:rsidRPr="00565621">
        <w:rPr>
          <w:szCs w:val="23"/>
        </w:rPr>
        <w:t xml:space="preserve"> </w:t>
      </w:r>
      <w:r w:rsidRPr="00806D88">
        <w:rPr>
          <w:i/>
          <w:szCs w:val="23"/>
        </w:rPr>
        <w:t>Goodbye Antoura: A Memoir of the Armenian Genocide</w:t>
      </w:r>
      <w:r>
        <w:rPr>
          <w:szCs w:val="23"/>
        </w:rPr>
        <w:t xml:space="preserve"> (due 9/21), Hiner Saleem’s </w:t>
      </w:r>
      <w:r w:rsidRPr="00806D88">
        <w:rPr>
          <w:i/>
          <w:szCs w:val="23"/>
        </w:rPr>
        <w:t>My Father’s Rifle</w:t>
      </w:r>
      <w:r>
        <w:rPr>
          <w:szCs w:val="23"/>
        </w:rPr>
        <w:t xml:space="preserve"> (due 11/16), or Riverbend’s </w:t>
      </w:r>
      <w:r w:rsidRPr="00D804A8">
        <w:rPr>
          <w:i/>
          <w:szCs w:val="23"/>
        </w:rPr>
        <w:t>Baghdad Burning</w:t>
      </w:r>
      <w:r>
        <w:rPr>
          <w:szCs w:val="23"/>
        </w:rPr>
        <w:t xml:space="preserve"> (12/12).  These reviews are to be two to three pages (not more, not less).  You must write it in 12-point type-face, double-spaced, with one-inch margins.  I will not accept book reviews emailed as an attachment.  You will be penalized five points for each day the essay is late.  We will devote a class period to discussing the book, and I will provide detailed guidelines to help your write the review.    </w:t>
      </w:r>
    </w:p>
    <w:p w:rsidR="00334168" w:rsidRDefault="00334168" w:rsidP="00334168">
      <w:pPr>
        <w:pStyle w:val="Default"/>
        <w:jc w:val="both"/>
        <w:rPr>
          <w:szCs w:val="23"/>
        </w:rPr>
      </w:pPr>
    </w:p>
    <w:p w:rsidR="00334168" w:rsidRDefault="00334168" w:rsidP="00334168">
      <w:pPr>
        <w:pStyle w:val="Default"/>
        <w:jc w:val="both"/>
        <w:rPr>
          <w:szCs w:val="23"/>
        </w:rPr>
      </w:pPr>
      <w:r w:rsidRPr="003A256E">
        <w:rPr>
          <w:b/>
          <w:i/>
          <w:szCs w:val="23"/>
        </w:rPr>
        <w:t>Attendance</w:t>
      </w:r>
      <w:r>
        <w:rPr>
          <w:szCs w:val="23"/>
        </w:rPr>
        <w:t xml:space="preserve"> is an important component of your final grade. I will take attendance consistently, but not on set days. Some class time will be devoted to discussion. A college education should foster a strong ability to communicate in both written and verbal forms!  Class discussions provide students with an opportunity to debate issues and to raise questions about them. Students will be expected to come to class prepared to discuss a topic and will be evaluated </w:t>
      </w:r>
      <w:r>
        <w:rPr>
          <w:szCs w:val="23"/>
        </w:rPr>
        <w:lastRenderedPageBreak/>
        <w:t xml:space="preserve">according to their ability to demonstrate knowledge of the assigned material and so to participate in a discussion.  </w:t>
      </w:r>
    </w:p>
    <w:p w:rsidR="00334168" w:rsidRDefault="00334168" w:rsidP="00334168">
      <w:pPr>
        <w:pStyle w:val="Default"/>
        <w:jc w:val="both"/>
        <w:rPr>
          <w:szCs w:val="23"/>
        </w:rPr>
      </w:pPr>
    </w:p>
    <w:p w:rsidR="00334168" w:rsidRDefault="00334168" w:rsidP="00334168">
      <w:pPr>
        <w:pStyle w:val="Default"/>
        <w:jc w:val="both"/>
        <w:rPr>
          <w:szCs w:val="23"/>
        </w:rPr>
      </w:pPr>
      <w:r>
        <w:rPr>
          <w:szCs w:val="23"/>
        </w:rPr>
        <w:t>Here is the University’s policy on Attendance:</w:t>
      </w:r>
    </w:p>
    <w:p w:rsidR="00334168" w:rsidRDefault="00334168" w:rsidP="00334168">
      <w:pPr>
        <w:pStyle w:val="Default"/>
        <w:jc w:val="both"/>
        <w:rPr>
          <w:szCs w:val="23"/>
        </w:rPr>
      </w:pPr>
    </w:p>
    <w:p w:rsidR="00334168" w:rsidRDefault="00334168" w:rsidP="00334168">
      <w:pPr>
        <w:rPr>
          <w:rFonts w:cs="Lucida Grande"/>
          <w:i/>
          <w:color w:val="0E0E0E"/>
        </w:rPr>
      </w:pPr>
      <w:r w:rsidRPr="0020495C">
        <w:rPr>
          <w:rFonts w:cs="Lucida Grande"/>
          <w:i/>
          <w:color w:val="0E0E0E"/>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w:t>
      </w:r>
      <w:r>
        <w:rPr>
          <w:rFonts w:cs="Lucida Grande"/>
          <w:i/>
          <w:color w:val="0E0E0E"/>
        </w:rPr>
        <w:t xml:space="preserve"> Office of the Dean of Students.</w:t>
      </w:r>
    </w:p>
    <w:p w:rsidR="00334168" w:rsidRDefault="00334168" w:rsidP="00334168">
      <w:pPr>
        <w:rPr>
          <w:rFonts w:cs="Lucida Grande"/>
          <w:i/>
          <w:color w:val="0E0E0E"/>
        </w:rPr>
      </w:pPr>
    </w:p>
    <w:p w:rsidR="00334168" w:rsidRDefault="00334168" w:rsidP="00334168">
      <w:pPr>
        <w:pStyle w:val="Default"/>
        <w:jc w:val="both"/>
        <w:rPr>
          <w:szCs w:val="23"/>
        </w:rPr>
      </w:pPr>
      <w:r w:rsidRPr="00996339">
        <w:rPr>
          <w:highlight w:val="yellow"/>
        </w:rPr>
        <w:t xml:space="preserve">The link to the complete policy and implications can be found at: </w:t>
      </w:r>
      <w:hyperlink r:id="rId8" w:history="1">
        <w:r w:rsidRPr="00996339">
          <w:rPr>
            <w:rStyle w:val="Hyperlink"/>
            <w:rFonts w:cs="Lucida Grande"/>
            <w:highlight w:val="yellow"/>
          </w:rPr>
          <w:t>http://www.purdue.edu/studentregulations/regulations_procedures/classes.html</w:t>
        </w:r>
      </w:hyperlink>
    </w:p>
    <w:p w:rsidR="00334168" w:rsidRDefault="00334168" w:rsidP="00334168">
      <w:pPr>
        <w:pStyle w:val="Default"/>
        <w:jc w:val="both"/>
        <w:rPr>
          <w:szCs w:val="23"/>
        </w:rPr>
      </w:pPr>
      <w:r>
        <w:rPr>
          <w:szCs w:val="23"/>
        </w:rPr>
        <w:t xml:space="preserve"> </w:t>
      </w:r>
    </w:p>
    <w:p w:rsidR="00334168" w:rsidRDefault="00334168" w:rsidP="00334168">
      <w:pPr>
        <w:pStyle w:val="Default"/>
        <w:jc w:val="both"/>
        <w:rPr>
          <w:szCs w:val="23"/>
        </w:rPr>
      </w:pPr>
      <w:r>
        <w:rPr>
          <w:szCs w:val="23"/>
          <w:u w:val="single"/>
        </w:rPr>
        <w:t>Grading</w:t>
      </w:r>
    </w:p>
    <w:p w:rsidR="00334168" w:rsidRDefault="00334168" w:rsidP="00334168">
      <w:pPr>
        <w:pStyle w:val="Default"/>
        <w:jc w:val="both"/>
        <w:rPr>
          <w:szCs w:val="23"/>
        </w:rPr>
      </w:pPr>
    </w:p>
    <w:p w:rsidR="00334168" w:rsidRDefault="00334168" w:rsidP="00334168">
      <w:pPr>
        <w:pStyle w:val="Default"/>
        <w:ind w:firstLine="720"/>
        <w:jc w:val="both"/>
        <w:rPr>
          <w:szCs w:val="23"/>
        </w:rPr>
      </w:pPr>
      <w:r>
        <w:rPr>
          <w:szCs w:val="23"/>
        </w:rPr>
        <w:t>A    = 94-100</w:t>
      </w:r>
    </w:p>
    <w:p w:rsidR="00334168" w:rsidRDefault="00334168" w:rsidP="00334168">
      <w:pPr>
        <w:pStyle w:val="Default"/>
        <w:numPr>
          <w:ilvl w:val="0"/>
          <w:numId w:val="2"/>
        </w:numPr>
        <w:jc w:val="both"/>
        <w:rPr>
          <w:szCs w:val="23"/>
        </w:rPr>
      </w:pPr>
      <w:r>
        <w:rPr>
          <w:szCs w:val="23"/>
        </w:rPr>
        <w:t xml:space="preserve"> = 90-93</w:t>
      </w:r>
    </w:p>
    <w:p w:rsidR="00334168" w:rsidRDefault="00334168" w:rsidP="00334168">
      <w:pPr>
        <w:pStyle w:val="Default"/>
        <w:ind w:left="720"/>
        <w:jc w:val="both"/>
        <w:rPr>
          <w:szCs w:val="23"/>
        </w:rPr>
      </w:pPr>
      <w:r>
        <w:rPr>
          <w:szCs w:val="23"/>
        </w:rPr>
        <w:t>B+  = 87-89</w:t>
      </w:r>
    </w:p>
    <w:p w:rsidR="00334168" w:rsidRDefault="00334168" w:rsidP="00334168">
      <w:pPr>
        <w:pStyle w:val="Default"/>
        <w:ind w:left="720"/>
        <w:jc w:val="both"/>
        <w:rPr>
          <w:szCs w:val="23"/>
        </w:rPr>
      </w:pPr>
      <w:r>
        <w:rPr>
          <w:szCs w:val="23"/>
        </w:rPr>
        <w:t>B    = 84-86</w:t>
      </w:r>
    </w:p>
    <w:p w:rsidR="00334168" w:rsidRDefault="00334168" w:rsidP="00334168">
      <w:pPr>
        <w:pStyle w:val="Default"/>
        <w:numPr>
          <w:ilvl w:val="0"/>
          <w:numId w:val="2"/>
        </w:numPr>
        <w:jc w:val="both"/>
        <w:rPr>
          <w:szCs w:val="23"/>
        </w:rPr>
      </w:pPr>
      <w:r>
        <w:rPr>
          <w:szCs w:val="23"/>
        </w:rPr>
        <w:t xml:space="preserve"> = 80-83</w:t>
      </w:r>
    </w:p>
    <w:p w:rsidR="00334168" w:rsidRDefault="00334168" w:rsidP="00334168">
      <w:pPr>
        <w:pStyle w:val="Default"/>
        <w:ind w:left="720"/>
        <w:jc w:val="both"/>
        <w:rPr>
          <w:szCs w:val="23"/>
        </w:rPr>
      </w:pPr>
      <w:r>
        <w:rPr>
          <w:szCs w:val="23"/>
        </w:rPr>
        <w:t>C+  = 77-79</w:t>
      </w:r>
    </w:p>
    <w:p w:rsidR="00334168" w:rsidRDefault="00334168" w:rsidP="00334168">
      <w:pPr>
        <w:pStyle w:val="Default"/>
        <w:ind w:left="720"/>
        <w:jc w:val="both"/>
        <w:rPr>
          <w:szCs w:val="23"/>
        </w:rPr>
      </w:pPr>
      <w:r>
        <w:rPr>
          <w:szCs w:val="23"/>
        </w:rPr>
        <w:t>C    = 74-76</w:t>
      </w:r>
    </w:p>
    <w:p w:rsidR="00334168" w:rsidRPr="0072454A" w:rsidRDefault="00334168" w:rsidP="00334168">
      <w:pPr>
        <w:pStyle w:val="Default"/>
        <w:numPr>
          <w:ilvl w:val="0"/>
          <w:numId w:val="2"/>
        </w:numPr>
        <w:jc w:val="both"/>
        <w:rPr>
          <w:szCs w:val="23"/>
        </w:rPr>
      </w:pPr>
      <w:r>
        <w:rPr>
          <w:szCs w:val="23"/>
        </w:rPr>
        <w:t xml:space="preserve"> = 70-73</w:t>
      </w:r>
    </w:p>
    <w:p w:rsidR="00334168" w:rsidRDefault="00334168" w:rsidP="00334168">
      <w:pPr>
        <w:pStyle w:val="Default"/>
        <w:jc w:val="both"/>
        <w:rPr>
          <w:szCs w:val="23"/>
        </w:rPr>
      </w:pPr>
    </w:p>
    <w:p w:rsidR="00334168" w:rsidRPr="003A256E" w:rsidRDefault="00334168" w:rsidP="00334168">
      <w:pPr>
        <w:pStyle w:val="Default"/>
        <w:jc w:val="both"/>
        <w:rPr>
          <w:szCs w:val="23"/>
          <w:u w:val="single"/>
        </w:rPr>
      </w:pPr>
      <w:r w:rsidRPr="003A256E">
        <w:rPr>
          <w:szCs w:val="23"/>
          <w:u w:val="single"/>
        </w:rPr>
        <w:t xml:space="preserve">Class </w:t>
      </w:r>
      <w:r>
        <w:rPr>
          <w:szCs w:val="23"/>
          <w:u w:val="single"/>
        </w:rPr>
        <w:t>Guidelines</w:t>
      </w:r>
    </w:p>
    <w:p w:rsidR="00334168" w:rsidRDefault="00334168" w:rsidP="00334168">
      <w:pPr>
        <w:pStyle w:val="Default"/>
        <w:numPr>
          <w:ilvl w:val="0"/>
          <w:numId w:val="3"/>
        </w:numPr>
        <w:jc w:val="both"/>
        <w:rPr>
          <w:szCs w:val="23"/>
        </w:rPr>
      </w:pPr>
      <w:r>
        <w:rPr>
          <w:szCs w:val="23"/>
        </w:rPr>
        <w:t>Prepare (Read Book, Watch Film) for a class beforehand in order to get the most out of it!</w:t>
      </w:r>
    </w:p>
    <w:p w:rsidR="00334168" w:rsidRDefault="00334168" w:rsidP="00334168">
      <w:pPr>
        <w:pStyle w:val="Default"/>
        <w:numPr>
          <w:ilvl w:val="0"/>
          <w:numId w:val="3"/>
        </w:numPr>
        <w:jc w:val="both"/>
        <w:rPr>
          <w:szCs w:val="23"/>
        </w:rPr>
      </w:pPr>
      <w:r>
        <w:rPr>
          <w:szCs w:val="23"/>
        </w:rPr>
        <w:t>Turn in papers on time, or suffer 5 points a day penalty!</w:t>
      </w:r>
    </w:p>
    <w:p w:rsidR="00334168" w:rsidRDefault="00334168" w:rsidP="00334168">
      <w:pPr>
        <w:pStyle w:val="Default"/>
        <w:numPr>
          <w:ilvl w:val="0"/>
          <w:numId w:val="3"/>
        </w:numPr>
        <w:jc w:val="both"/>
        <w:rPr>
          <w:szCs w:val="23"/>
        </w:rPr>
      </w:pPr>
      <w:r>
        <w:rPr>
          <w:szCs w:val="23"/>
        </w:rPr>
        <w:t xml:space="preserve">Be considerate!  It may be a distraction to your neighbors if you surf the net during class! Or come in late!  Or speak in vernacular (i.e. drop the F bomb) during discussions. </w:t>
      </w:r>
    </w:p>
    <w:p w:rsidR="00334168" w:rsidRDefault="00334168" w:rsidP="00334168">
      <w:pPr>
        <w:pStyle w:val="Default"/>
        <w:jc w:val="both"/>
        <w:rPr>
          <w:szCs w:val="23"/>
        </w:rPr>
      </w:pPr>
    </w:p>
    <w:p w:rsidR="00334168" w:rsidRDefault="00334168" w:rsidP="00334168">
      <w:pPr>
        <w:pStyle w:val="Default"/>
        <w:jc w:val="both"/>
        <w:rPr>
          <w:szCs w:val="23"/>
        </w:rPr>
      </w:pPr>
      <w:r>
        <w:rPr>
          <w:szCs w:val="23"/>
          <w:u w:val="single"/>
        </w:rPr>
        <w:t xml:space="preserve">University (and Class!) Policies </w:t>
      </w:r>
    </w:p>
    <w:p w:rsidR="00334168" w:rsidRDefault="00334168" w:rsidP="00334168">
      <w:pPr>
        <w:pStyle w:val="Default"/>
        <w:jc w:val="both"/>
        <w:rPr>
          <w:b/>
          <w:bCs/>
          <w:i/>
          <w:iCs/>
          <w:szCs w:val="23"/>
        </w:rPr>
      </w:pPr>
    </w:p>
    <w:p w:rsidR="00334168" w:rsidRPr="00E957AC" w:rsidRDefault="00334168" w:rsidP="00334168">
      <w:pPr>
        <w:pStyle w:val="Default"/>
        <w:jc w:val="both"/>
        <w:rPr>
          <w:i/>
          <w:szCs w:val="23"/>
        </w:rPr>
      </w:pPr>
      <w:r w:rsidRPr="00C2361B">
        <w:rPr>
          <w:b/>
          <w:bCs/>
          <w:iCs/>
          <w:szCs w:val="23"/>
        </w:rPr>
        <w:t>Plagiarism Will Not Be Tolerated at Purdue University:</w:t>
      </w:r>
      <w:r>
        <w:rPr>
          <w:b/>
          <w:bCs/>
          <w:i/>
          <w:iCs/>
          <w:szCs w:val="23"/>
        </w:rPr>
        <w:t xml:space="preserve"> </w:t>
      </w:r>
      <w:r w:rsidRPr="00E957AC">
        <w:rPr>
          <w:i/>
          <w:szCs w:val="23"/>
        </w:rPr>
        <w:t xml:space="preserve">Plagiarism is a crime, and students can be expelled for turning in a paper that they did not write. Copying a person’s work verbatim is not the only form of plagiarism. In some cases, plagiarism involves paraphrasing the idea of another without a footnote or the repetition of another author’s phrase. Students are advised </w:t>
      </w:r>
      <w:r w:rsidRPr="00E957AC">
        <w:rPr>
          <w:i/>
          <w:szCs w:val="23"/>
        </w:rPr>
        <w:lastRenderedPageBreak/>
        <w:t xml:space="preserve">to consult Purdue University’s Guide to Academic Integrity for guidelines at: </w:t>
      </w:r>
      <w:r w:rsidRPr="00E957AC">
        <w:rPr>
          <w:i/>
          <w:szCs w:val="23"/>
          <w:u w:val="single"/>
        </w:rPr>
        <w:t>http://www.purdue.edu/ODOS/osrr/integrity.htm</w:t>
      </w:r>
      <w:r w:rsidRPr="00E957AC">
        <w:rPr>
          <w:i/>
          <w:szCs w:val="23"/>
        </w:rPr>
        <w:t>.  Plagiarized work will receive a 0, and the professor reserves the right to forward the case to the administration for further review by a dean.</w:t>
      </w:r>
    </w:p>
    <w:p w:rsidR="00334168" w:rsidRDefault="00334168" w:rsidP="00334168">
      <w:pPr>
        <w:jc w:val="both"/>
        <w:rPr>
          <w:szCs w:val="23"/>
        </w:rPr>
      </w:pPr>
    </w:p>
    <w:p w:rsidR="00334168" w:rsidRPr="00DC5E50" w:rsidRDefault="00334168" w:rsidP="00334168">
      <w:pPr>
        <w:jc w:val="both"/>
        <w:rPr>
          <w:szCs w:val="23"/>
        </w:rPr>
      </w:pPr>
      <w:r>
        <w:rPr>
          <w:b/>
          <w:szCs w:val="23"/>
        </w:rPr>
        <w:t>Here I</w:t>
      </w:r>
      <w:r w:rsidRPr="00DC5E50">
        <w:rPr>
          <w:b/>
          <w:szCs w:val="23"/>
        </w:rPr>
        <w:t xml:space="preserve">s the Purdue University Policy for Academic Dishonesty:   </w:t>
      </w:r>
      <w:r w:rsidRPr="0020495C">
        <w:rPr>
          <w:rFonts w:cs="Lucida Grande"/>
          <w:i/>
          <w:color w:val="0E0E0E"/>
        </w:rPr>
        <w:t xml:space="preserve">Purdue prohibits "dishonesty in connection with any University activity. Cheating, plagiarism, or knowingly furnishing false information to the University are examples of dishonesty." [Part 5, Section III-B-2-a, </w:t>
      </w:r>
      <w:hyperlink r:id="rId9" w:history="1">
        <w:r>
          <w:rPr>
            <w:rFonts w:cs="Lucida Grande"/>
            <w:i/>
            <w:color w:val="262626"/>
          </w:rPr>
          <w:t>Student</w:t>
        </w:r>
        <w:r w:rsidRPr="0020495C">
          <w:rPr>
            <w:rFonts w:cs="Lucida Grande"/>
            <w:i/>
            <w:color w:val="262626"/>
          </w:rPr>
          <w:t xml:space="preserve"> Regulations</w:t>
        </w:r>
      </w:hyperlink>
      <w:r w:rsidRPr="0020495C">
        <w:rPr>
          <w:rFonts w:cs="Lucida Grande"/>
          <w:i/>
          <w:color w:val="0E0E0E"/>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r>
        <w:rPr>
          <w:rFonts w:cs="Lucida Grande"/>
          <w:i/>
          <w:color w:val="0E0E0E"/>
        </w:rPr>
        <w:t xml:space="preserve"> </w:t>
      </w:r>
      <w:hyperlink r:id="rId10" w:history="1">
        <w:r w:rsidRPr="00C54070">
          <w:rPr>
            <w:rStyle w:val="Hyperlink"/>
            <w:highlight w:val="lightGray"/>
          </w:rPr>
          <w:t>https://www.purdue.edu/odos/academic-integrity/</w:t>
        </w:r>
      </w:hyperlink>
    </w:p>
    <w:p w:rsidR="00334168" w:rsidRDefault="00334168" w:rsidP="00334168">
      <w:pPr>
        <w:rPr>
          <w:rFonts w:cs="Lucida Grande"/>
          <w:b/>
          <w:color w:val="0E0E0E"/>
        </w:rPr>
      </w:pPr>
    </w:p>
    <w:p w:rsidR="00334168" w:rsidRPr="00032EC6" w:rsidRDefault="00334168" w:rsidP="00334168">
      <w:pPr>
        <w:rPr>
          <w:rFonts w:cs="Arial"/>
          <w:i/>
        </w:rPr>
      </w:pPr>
      <w:r>
        <w:rPr>
          <w:rFonts w:cs="Arial"/>
          <w:b/>
        </w:rPr>
        <w:t>Here Is</w:t>
      </w:r>
      <w:r w:rsidRPr="00DC5E50">
        <w:rPr>
          <w:rFonts w:cs="Arial"/>
          <w:b/>
        </w:rPr>
        <w:t xml:space="preserve"> the Purdue University Policy Prohibiting Discrimination: </w:t>
      </w:r>
      <w:r w:rsidRPr="000F3409">
        <w:rPr>
          <w:rFonts w:cs="Arial"/>
          <w:i/>
        </w:rPr>
        <w:t xml:space="preserve">Purdue University is committed to maintaining a community which recognizes and values the inherent worth and dignity of every person; fosters tolerance, sensitivity, understanding, and mutual respect among its members; and encourages each individual </w:t>
      </w:r>
      <w:r w:rsidRPr="000F3409">
        <w:rPr>
          <w:rFonts w:cs="Arial"/>
          <w:i/>
        </w:rPr>
        <w:lastRenderedPageBreak/>
        <w:t>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r>
        <w:rPr>
          <w:rFonts w:cs="Arial"/>
          <w:i/>
        </w:rPr>
        <w:t xml:space="preserve">  </w:t>
      </w:r>
      <w:r w:rsidRPr="000F3409">
        <w:rPr>
          <w:rFonts w:cs="Verdana"/>
          <w:i/>
        </w:rPr>
        <w:t>Purdue University prohibits discrimination against any member of the University community on the basis of race, religion, color, sex, ag</w:t>
      </w:r>
      <w:r>
        <w:rPr>
          <w:rFonts w:cs="Verdana"/>
          <w:i/>
        </w:rPr>
        <w:t xml:space="preserve">e, national origin or ancestry, </w:t>
      </w:r>
      <w:r w:rsidRPr="004E7694">
        <w:rPr>
          <w:rFonts w:cs="Verdana"/>
          <w:i/>
        </w:rPr>
        <w:t>genetic information</w:t>
      </w:r>
      <w:r>
        <w:rPr>
          <w:rFonts w:cs="Verdana"/>
          <w:i/>
        </w:rPr>
        <w:t xml:space="preserve">, </w:t>
      </w:r>
      <w:r w:rsidRPr="000F3409">
        <w:rPr>
          <w:rFonts w:cs="Verdana"/>
          <w:i/>
        </w:rPr>
        <w:t xml:space="preserve">marital status, parental status, sexual orientation, </w:t>
      </w:r>
      <w:r w:rsidRPr="004E7694">
        <w:rPr>
          <w:rFonts w:cs="Verdana"/>
          <w:i/>
        </w:rPr>
        <w:t xml:space="preserve">gender identity and expression, </w:t>
      </w:r>
      <w:r w:rsidRPr="000F3409">
        <w:rPr>
          <w:rFonts w:cs="Verdana"/>
          <w:i/>
        </w:rPr>
        <w:t xml:space="preserve">disability, or status as a veteran. The University will conduct its programs, services and activities consistent with applicable federal, state and local laws, regulations and orders and in conformance with the procedures and limitations as set forth in </w:t>
      </w:r>
      <w:hyperlink r:id="rId11" w:history="1">
        <w:r w:rsidRPr="000F3409">
          <w:rPr>
            <w:rFonts w:cs="Verdana"/>
            <w:i/>
            <w:color w:val="0030F6"/>
          </w:rPr>
          <w:t>Executive Memorandum No. D-1</w:t>
        </w:r>
      </w:hyperlink>
      <w:r w:rsidRPr="000F3409">
        <w:rPr>
          <w:rFonts w:cs="Verdana"/>
          <w:i/>
        </w:rPr>
        <w:t>, which provides specific contractual rights and remedies.</w:t>
      </w:r>
      <w:r>
        <w:rPr>
          <w:rFonts w:cs="Verdana"/>
          <w:i/>
        </w:rPr>
        <w:t xml:space="preserve"> </w:t>
      </w:r>
      <w:r w:rsidRPr="000763A4">
        <w:rPr>
          <w:rFonts w:cs="Verdana"/>
          <w:i/>
        </w:rPr>
        <w:t xml:space="preserve">Any student who believes they have been discriminated against may visit </w:t>
      </w:r>
      <w:hyperlink r:id="rId12" w:history="1">
        <w:r w:rsidRPr="00260ADE">
          <w:rPr>
            <w:rStyle w:val="Hyperlink"/>
            <w:rFonts w:cs="Verdana"/>
            <w:i/>
          </w:rPr>
          <w:t>www.purdue.edu/report-hate</w:t>
        </w:r>
      </w:hyperlink>
      <w:r>
        <w:rPr>
          <w:rFonts w:cs="Verdana"/>
          <w:i/>
        </w:rPr>
        <w:t xml:space="preserve"> </w:t>
      </w:r>
      <w:r w:rsidRPr="000763A4">
        <w:rPr>
          <w:rFonts w:cs="Verdana"/>
          <w:i/>
        </w:rPr>
        <w:t>to submit a complaint to the Office of Institutional Equity. Information may be reported anonymously.</w:t>
      </w:r>
      <w:r>
        <w:rPr>
          <w:rFonts w:cs="Verdana"/>
          <w:i/>
        </w:rPr>
        <w:t xml:space="preserve">  </w:t>
      </w:r>
      <w:hyperlink r:id="rId13" w:history="1">
        <w:r w:rsidRPr="00C54070">
          <w:rPr>
            <w:rStyle w:val="Hyperlink"/>
            <w:rFonts w:cs="Lucida Grande"/>
            <w:highlight w:val="lightGray"/>
          </w:rPr>
          <w:t>http://www.purdue.edu/purdue/ea_eou_statement.html</w:t>
        </w:r>
      </w:hyperlink>
    </w:p>
    <w:p w:rsidR="00334168" w:rsidRPr="00F63C7B" w:rsidRDefault="00334168" w:rsidP="00334168">
      <w:pPr>
        <w:rPr>
          <w:rFonts w:cs="Lucida Grande"/>
          <w:color w:val="0E0E0E"/>
        </w:rPr>
      </w:pPr>
    </w:p>
    <w:p w:rsidR="00334168" w:rsidRDefault="00334168" w:rsidP="00334168">
      <w:pPr>
        <w:jc w:val="both"/>
        <w:rPr>
          <w:szCs w:val="23"/>
        </w:rPr>
      </w:pPr>
      <w:r>
        <w:rPr>
          <w:b/>
          <w:szCs w:val="23"/>
        </w:rPr>
        <w:t xml:space="preserve">Disclaimer: </w:t>
      </w:r>
      <w:r>
        <w:rPr>
          <w:i/>
          <w:szCs w:val="23"/>
        </w:rPr>
        <w:t>In case</w:t>
      </w:r>
      <w:r w:rsidRPr="00E957AC">
        <w:rPr>
          <w:i/>
          <w:szCs w:val="23"/>
        </w:rPr>
        <w:t xml:space="preserve"> of a major campus emergency, the requirements on this syllabus are subject to changes required by a revised semester calendar. Any changes will be posted, once the course resumes, on the course website. It may also be obtained by contacting the instructor via email.</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August 22 (Tu)</w:t>
      </w:r>
      <w:r>
        <w:rPr>
          <w:rFonts w:ascii="Times New Roman" w:hAnsi="Times New Roman" w:cs="Times New Roman"/>
          <w:b/>
          <w:sz w:val="24"/>
          <w:szCs w:val="24"/>
        </w:rPr>
        <w:tab/>
      </w:r>
      <w:r>
        <w:rPr>
          <w:rFonts w:ascii="Times New Roman" w:hAnsi="Times New Roman" w:cs="Times New Roman"/>
          <w:b/>
          <w:sz w:val="24"/>
          <w:szCs w:val="24"/>
        </w:rPr>
        <w:tab/>
        <w:t>Conceptions and Preconceptions</w:t>
      </w:r>
    </w:p>
    <w:p w:rsidR="00334168" w:rsidRPr="00C2361B"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August 24 (Th)</w:t>
      </w:r>
      <w:r>
        <w:rPr>
          <w:rFonts w:ascii="Times New Roman" w:hAnsi="Times New Roman" w:cs="Times New Roman"/>
          <w:b/>
          <w:sz w:val="24"/>
          <w:szCs w:val="24"/>
        </w:rPr>
        <w:tab/>
      </w:r>
      <w:r>
        <w:rPr>
          <w:rFonts w:ascii="Times New Roman" w:hAnsi="Times New Roman" w:cs="Times New Roman"/>
          <w:b/>
          <w:sz w:val="24"/>
          <w:szCs w:val="24"/>
        </w:rPr>
        <w:tab/>
        <w:t>The Rise and Decline of the Ottoman Empire</w:t>
      </w:r>
    </w:p>
    <w:p w:rsidR="00334168" w:rsidRDefault="00334168" w:rsidP="00334168">
      <w:pPr>
        <w:pStyle w:val="NoSpacing"/>
        <w:rPr>
          <w:rFonts w:ascii="Times New Roman" w:hAnsi="Times New Roman" w:cs="Times New Roman"/>
          <w:sz w:val="24"/>
          <w:szCs w:val="24"/>
        </w:rPr>
      </w:pPr>
    </w:p>
    <w:p w:rsidR="00334168" w:rsidRPr="0051628D"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Pr="0051628D"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58-60,73-75, 76-86, 124-134.</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Suraiya Faroqhi, “Women’s Culture,” </w:t>
      </w:r>
      <w:r w:rsidRPr="0051628D">
        <w:rPr>
          <w:rFonts w:ascii="Times New Roman" w:hAnsi="Times New Roman" w:cs="Times New Roman"/>
          <w:i/>
          <w:sz w:val="24"/>
          <w:szCs w:val="24"/>
        </w:rPr>
        <w:t>Subjects of the Sultan: Culture and Daily Life in the Ottoman Empire</w:t>
      </w:r>
      <w:r>
        <w:rPr>
          <w:rFonts w:ascii="Times New Roman" w:hAnsi="Times New Roman" w:cs="Times New Roman"/>
          <w:sz w:val="24"/>
          <w:szCs w:val="24"/>
        </w:rPr>
        <w:t xml:space="preserve"> (I.B. Tauris, 2013), 101-122.</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August 29 (Tu)</w:t>
      </w:r>
      <w:r>
        <w:rPr>
          <w:rFonts w:ascii="Times New Roman" w:hAnsi="Times New Roman" w:cs="Times New Roman"/>
          <w:b/>
          <w:sz w:val="24"/>
          <w:szCs w:val="24"/>
        </w:rPr>
        <w:tab/>
      </w:r>
      <w:r>
        <w:rPr>
          <w:rFonts w:ascii="Times New Roman" w:hAnsi="Times New Roman" w:cs="Times New Roman"/>
          <w:b/>
          <w:sz w:val="24"/>
          <w:szCs w:val="24"/>
        </w:rPr>
        <w:tab/>
        <w:t>Foreign Intervention in Egypt, 1798-1906</w:t>
      </w:r>
    </w:p>
    <w:p w:rsidR="00334168" w:rsidRDefault="00334168" w:rsidP="00334168">
      <w:pPr>
        <w:pStyle w:val="NoSpacing"/>
        <w:rPr>
          <w:rFonts w:ascii="Times New Roman" w:hAnsi="Times New Roman" w:cs="Times New Roman"/>
          <w:sz w:val="24"/>
          <w:szCs w:val="24"/>
        </w:rPr>
      </w:pPr>
    </w:p>
    <w:p w:rsidR="00334168" w:rsidRPr="0051628D"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61-70, 87-95, 96-102.</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Shmuel Moreh, ed., </w:t>
      </w:r>
      <w:r w:rsidRPr="00A77E44">
        <w:rPr>
          <w:rFonts w:ascii="Times New Roman" w:hAnsi="Times New Roman" w:cs="Times New Roman"/>
          <w:i/>
          <w:sz w:val="24"/>
          <w:szCs w:val="24"/>
        </w:rPr>
        <w:t>Napoleon in Egypt: Al Jabarti’s Chronicles of the French Occupation, 1798</w:t>
      </w:r>
      <w:r>
        <w:rPr>
          <w:rFonts w:ascii="Times New Roman" w:hAnsi="Times New Roman" w:cs="Times New Roman"/>
          <w:sz w:val="24"/>
          <w:szCs w:val="24"/>
        </w:rPr>
        <w:t xml:space="preserve"> (Markus Weiner Publishers, 1993), TBA.</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August 31 (Th)</w:t>
      </w:r>
      <w:r>
        <w:rPr>
          <w:rFonts w:ascii="Times New Roman" w:hAnsi="Times New Roman" w:cs="Times New Roman"/>
          <w:b/>
          <w:sz w:val="24"/>
          <w:szCs w:val="24"/>
        </w:rPr>
        <w:tab/>
      </w:r>
      <w:r>
        <w:rPr>
          <w:rFonts w:ascii="Times New Roman" w:hAnsi="Times New Roman" w:cs="Times New Roman"/>
          <w:b/>
          <w:sz w:val="24"/>
          <w:szCs w:val="24"/>
        </w:rPr>
        <w:tab/>
        <w:t>WWI &amp; the Mandate System</w:t>
      </w:r>
    </w:p>
    <w:p w:rsidR="00334168" w:rsidRPr="0051628D"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139-163.</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September 5 (Tu)</w:t>
      </w:r>
      <w:r>
        <w:rPr>
          <w:rFonts w:ascii="Times New Roman" w:hAnsi="Times New Roman" w:cs="Times New Roman"/>
          <w:b/>
          <w:sz w:val="24"/>
          <w:szCs w:val="24"/>
        </w:rPr>
        <w:tab/>
      </w:r>
      <w:r>
        <w:rPr>
          <w:rFonts w:ascii="Times New Roman" w:hAnsi="Times New Roman" w:cs="Times New Roman"/>
          <w:b/>
          <w:sz w:val="24"/>
          <w:szCs w:val="24"/>
        </w:rPr>
        <w:tab/>
        <w:t>WWI and the Women of Baghdad</w:t>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--Guest Lecture, Lama El Sharief (Ph.D. Student in History)</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Violette Shamash, </w:t>
      </w:r>
      <w:r w:rsidRPr="00FF5654">
        <w:rPr>
          <w:rFonts w:ascii="Times New Roman" w:hAnsi="Times New Roman" w:cs="Times New Roman"/>
          <w:i/>
          <w:sz w:val="24"/>
          <w:szCs w:val="24"/>
        </w:rPr>
        <w:t>Memories of Eden: A Journey through Jewish Baghdad</w:t>
      </w:r>
      <w:r>
        <w:rPr>
          <w:rFonts w:ascii="Times New Roman" w:hAnsi="Times New Roman" w:cs="Times New Roman"/>
          <w:sz w:val="24"/>
          <w:szCs w:val="24"/>
        </w:rPr>
        <w:t xml:space="preserve"> (Forum Books, 2008),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47-50.</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Tamara Chalabi, “Café Chantant: The British in Baghdad (1918),” </w:t>
      </w:r>
      <w:r w:rsidRPr="00815939">
        <w:rPr>
          <w:rFonts w:ascii="Times New Roman" w:hAnsi="Times New Roman" w:cs="Times New Roman"/>
          <w:i/>
          <w:sz w:val="24"/>
          <w:szCs w:val="24"/>
        </w:rPr>
        <w:t>Late for Tea at the Deer Palace: The Lost Dreams of My Iraqi Family</w:t>
      </w:r>
      <w:r>
        <w:rPr>
          <w:rFonts w:ascii="Times New Roman" w:hAnsi="Times New Roman" w:cs="Times New Roman"/>
          <w:sz w:val="24"/>
          <w:szCs w:val="24"/>
        </w:rPr>
        <w:t xml:space="preserve"> (Harper Collins, 2011), 77-85.</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Kermit Roosevelt, War in the Garden of Eden, (1919; reprint, BiblioBazaar Reproduction Series, 2009), 22-23, 26-27 and 86-94.</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September 7 (Th)</w:t>
      </w:r>
      <w:r>
        <w:rPr>
          <w:rFonts w:ascii="Times New Roman" w:hAnsi="Times New Roman" w:cs="Times New Roman"/>
          <w:b/>
          <w:sz w:val="24"/>
          <w:szCs w:val="24"/>
        </w:rPr>
        <w:tab/>
      </w:r>
      <w:r>
        <w:rPr>
          <w:rFonts w:ascii="Times New Roman" w:hAnsi="Times New Roman" w:cs="Times New Roman"/>
          <w:b/>
          <w:sz w:val="24"/>
          <w:szCs w:val="24"/>
        </w:rPr>
        <w:tab/>
      </w:r>
      <w:r w:rsidRPr="00814838">
        <w:rPr>
          <w:rFonts w:ascii="Times New Roman" w:hAnsi="Times New Roman" w:cs="Times New Roman"/>
          <w:b/>
          <w:sz w:val="24"/>
          <w:szCs w:val="24"/>
        </w:rPr>
        <w:t>The Armenian Tragedy</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Pr="0081483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Panian, </w:t>
      </w:r>
      <w:r>
        <w:rPr>
          <w:rFonts w:ascii="Times New Roman" w:hAnsi="Times New Roman" w:cs="Times New Roman"/>
          <w:i/>
          <w:sz w:val="24"/>
          <w:szCs w:val="24"/>
        </w:rPr>
        <w:t>Goodbye Antoura</w:t>
      </w:r>
      <w:r>
        <w:rPr>
          <w:rFonts w:ascii="Times New Roman" w:hAnsi="Times New Roman" w:cs="Times New Roman"/>
          <w:sz w:val="24"/>
          <w:szCs w:val="24"/>
        </w:rPr>
        <w:t>, entirety.</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Elizabeth Thompson, “World War I: Famine, Memory, and a Shattered Social Order,” </w:t>
      </w:r>
      <w:r w:rsidRPr="00A023FC">
        <w:rPr>
          <w:rFonts w:ascii="Times New Roman" w:hAnsi="Times New Roman" w:cs="Times New Roman"/>
          <w:i/>
          <w:sz w:val="24"/>
          <w:szCs w:val="24"/>
        </w:rPr>
        <w:t>Colonial Citizens: Republican Rights, Paternal Privilege, and Gender in French Syria and Lebanon</w:t>
      </w:r>
      <w:r>
        <w:rPr>
          <w:rFonts w:ascii="Times New Roman" w:hAnsi="Times New Roman" w:cs="Times New Roman"/>
          <w:sz w:val="24"/>
          <w:szCs w:val="24"/>
        </w:rPr>
        <w:t xml:space="preserve"> (Columbia University Press, 2000), 19-38.</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sidRPr="00814838">
        <w:rPr>
          <w:rFonts w:ascii="Times New Roman" w:hAnsi="Times New Roman" w:cs="Times New Roman"/>
          <w:b/>
          <w:sz w:val="24"/>
          <w:szCs w:val="24"/>
        </w:rPr>
        <w:t>September 12 (Tu)</w:t>
      </w:r>
      <w:r w:rsidRPr="00814838">
        <w:rPr>
          <w:rFonts w:ascii="Times New Roman" w:hAnsi="Times New Roman" w:cs="Times New Roman"/>
          <w:b/>
          <w:sz w:val="24"/>
          <w:szCs w:val="24"/>
        </w:rPr>
        <w:tab/>
      </w:r>
      <w:r w:rsidRPr="00814838">
        <w:rPr>
          <w:rFonts w:ascii="Times New Roman" w:hAnsi="Times New Roman" w:cs="Times New Roman"/>
          <w:b/>
          <w:sz w:val="24"/>
          <w:szCs w:val="24"/>
        </w:rPr>
        <w:tab/>
      </w:r>
      <w:r>
        <w:rPr>
          <w:rFonts w:ascii="Times New Roman" w:hAnsi="Times New Roman" w:cs="Times New Roman"/>
          <w:b/>
          <w:sz w:val="24"/>
          <w:szCs w:val="24"/>
        </w:rPr>
        <w:t>Turkey: From Ataturk to Erdogan</w:t>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“Ataturk” (84 minutes).  This film is on Blackboard.</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166-175.</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Steven A. Cook, “RIP Turkey, 1921-2017,” </w:t>
      </w:r>
      <w:r w:rsidRPr="0004300C">
        <w:rPr>
          <w:rFonts w:ascii="Times New Roman" w:hAnsi="Times New Roman" w:cs="Times New Roman"/>
          <w:i/>
          <w:sz w:val="24"/>
          <w:szCs w:val="24"/>
        </w:rPr>
        <w:t>Foreign Policy</w:t>
      </w:r>
      <w:r>
        <w:rPr>
          <w:rFonts w:ascii="Times New Roman" w:hAnsi="Times New Roman" w:cs="Times New Roman"/>
          <w:sz w:val="24"/>
          <w:szCs w:val="24"/>
        </w:rPr>
        <w:t xml:space="preserve"> (16 April 2017),  </w:t>
      </w:r>
      <w:hyperlink r:id="rId14" w:history="1">
        <w:r w:rsidRPr="004C2EC9">
          <w:rPr>
            <w:rStyle w:val="Hyperlink"/>
            <w:rFonts w:ascii="Times New Roman" w:hAnsi="Times New Roman"/>
            <w:sz w:val="24"/>
            <w:szCs w:val="24"/>
          </w:rPr>
          <w:t>http://foreignpolicy.com/2017/04/16/rip-turkey-1921-2017/</w:t>
        </w:r>
      </w:hyperlink>
      <w:r>
        <w:rPr>
          <w:rFonts w:ascii="Times New Roman" w:hAnsi="Times New Roman" w:cs="Times New Roman"/>
          <w:sz w:val="24"/>
          <w:szCs w:val="24"/>
        </w:rPr>
        <w:t xml:space="preserve"> </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Elliot Ackerman, “Ataturk versus Erdogan: Turkey’s Long Struggle,” The New Yorker (16 July 2016) </w:t>
      </w:r>
      <w:hyperlink r:id="rId15" w:history="1">
        <w:r w:rsidRPr="004C2EC9">
          <w:rPr>
            <w:rStyle w:val="Hyperlink"/>
            <w:rFonts w:ascii="Times New Roman" w:hAnsi="Times New Roman"/>
            <w:sz w:val="24"/>
            <w:szCs w:val="24"/>
          </w:rPr>
          <w:t>http://www.newyorker.com/news/news-desk/ataturk-versus-erdogan-turkeys-long-struggle</w:t>
        </w:r>
      </w:hyperlink>
      <w:r>
        <w:rPr>
          <w:rFonts w:ascii="Times New Roman" w:hAnsi="Times New Roman" w:cs="Times New Roman"/>
          <w:sz w:val="24"/>
          <w:szCs w:val="24"/>
        </w:rPr>
        <w:t xml:space="preserve"> </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“It’s Erdogan vs. Ataturk In a Battle for Turkey’s Soul,” </w:t>
      </w:r>
      <w:r w:rsidRPr="0004300C">
        <w:rPr>
          <w:rFonts w:ascii="Times New Roman" w:hAnsi="Times New Roman" w:cs="Times New Roman"/>
          <w:i/>
          <w:sz w:val="24"/>
          <w:szCs w:val="24"/>
        </w:rPr>
        <w:t>Al Jazeera America</w:t>
      </w:r>
      <w:r>
        <w:rPr>
          <w:rFonts w:ascii="Times New Roman" w:hAnsi="Times New Roman" w:cs="Times New Roman"/>
          <w:sz w:val="24"/>
          <w:szCs w:val="24"/>
        </w:rPr>
        <w:t xml:space="preserve"> (10 December 2014) </w:t>
      </w:r>
      <w:r w:rsidRPr="0004300C">
        <w:rPr>
          <w:rFonts w:ascii="Times New Roman" w:hAnsi="Times New Roman" w:cs="Times New Roman"/>
          <w:sz w:val="24"/>
          <w:szCs w:val="24"/>
        </w:rPr>
        <w:t>http://america.aljazeera.com/articles/2014/12/10/remodelling-turkeyinerdogansimage.html</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lastRenderedPageBreak/>
        <w:t>September 13 (Th)</w:t>
      </w:r>
      <w:r>
        <w:rPr>
          <w:rFonts w:ascii="Times New Roman" w:hAnsi="Times New Roman" w:cs="Times New Roman"/>
          <w:b/>
          <w:sz w:val="24"/>
          <w:szCs w:val="24"/>
        </w:rPr>
        <w:tab/>
      </w:r>
      <w:r>
        <w:rPr>
          <w:rFonts w:ascii="Times New Roman" w:hAnsi="Times New Roman" w:cs="Times New Roman"/>
          <w:b/>
          <w:sz w:val="24"/>
          <w:szCs w:val="24"/>
        </w:rPr>
        <w:tab/>
        <w:t>The Conquest of Algeria, 1830-1880</w:t>
      </w:r>
    </w:p>
    <w:p w:rsidR="00334168" w:rsidRDefault="00334168" w:rsidP="00334168">
      <w:pPr>
        <w:pStyle w:val="NoSpacing"/>
        <w:rPr>
          <w:rFonts w:ascii="Times New Roman" w:hAnsi="Times New Roman" w:cs="Times New Roman"/>
          <w:sz w:val="24"/>
          <w:szCs w:val="24"/>
          <w:u w:val="single"/>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James McDougall, “Conquest, Resistance and Accommodation, 1830-1911” (Chapter 2), </w:t>
      </w:r>
      <w:r w:rsidRPr="00090B59">
        <w:rPr>
          <w:rFonts w:ascii="Times New Roman" w:hAnsi="Times New Roman" w:cs="Times New Roman"/>
          <w:i/>
          <w:sz w:val="24"/>
          <w:szCs w:val="24"/>
        </w:rPr>
        <w:t>A History of Algeria</w:t>
      </w:r>
      <w:r>
        <w:rPr>
          <w:rFonts w:ascii="Times New Roman" w:hAnsi="Times New Roman" w:cs="Times New Roman"/>
          <w:sz w:val="24"/>
          <w:szCs w:val="24"/>
        </w:rPr>
        <w:t xml:space="preserve"> (2017), 49-85.</w:t>
      </w:r>
    </w:p>
    <w:p w:rsidR="00334168" w:rsidRPr="0088703C" w:rsidRDefault="00334168" w:rsidP="00334168">
      <w:pPr>
        <w:pStyle w:val="NoSpacing"/>
        <w:rPr>
          <w:rFonts w:ascii="Times New Roman" w:hAnsi="Times New Roman" w:cs="Times New Roman"/>
          <w:sz w:val="24"/>
          <w:szCs w:val="24"/>
        </w:rPr>
      </w:pPr>
    </w:p>
    <w:p w:rsidR="00334168" w:rsidRPr="0081483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September 19 (Tu)</w:t>
      </w:r>
      <w:r>
        <w:rPr>
          <w:rFonts w:ascii="Times New Roman" w:hAnsi="Times New Roman" w:cs="Times New Roman"/>
          <w:b/>
          <w:sz w:val="24"/>
          <w:szCs w:val="24"/>
        </w:rPr>
        <w:tab/>
      </w:r>
      <w:r>
        <w:rPr>
          <w:rFonts w:ascii="Times New Roman" w:hAnsi="Times New Roman" w:cs="Times New Roman"/>
          <w:b/>
          <w:sz w:val="24"/>
          <w:szCs w:val="24"/>
        </w:rPr>
        <w:tab/>
      </w:r>
      <w:r w:rsidRPr="00814838">
        <w:rPr>
          <w:rFonts w:ascii="Times New Roman" w:hAnsi="Times New Roman" w:cs="Times New Roman"/>
          <w:b/>
          <w:sz w:val="24"/>
          <w:szCs w:val="24"/>
        </w:rPr>
        <w:t>Colonial Rule in Algeria, 1880-1962</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James McDougall, “The Means of Domination, 1830-1944” (Chapter 3), </w:t>
      </w:r>
      <w:r w:rsidRPr="00090B59">
        <w:rPr>
          <w:rFonts w:ascii="Times New Roman" w:hAnsi="Times New Roman" w:cs="Times New Roman"/>
          <w:i/>
          <w:sz w:val="24"/>
          <w:szCs w:val="24"/>
        </w:rPr>
        <w:t>A History of Algeria</w:t>
      </w:r>
      <w:r>
        <w:rPr>
          <w:rFonts w:ascii="Times New Roman" w:hAnsi="Times New Roman" w:cs="Times New Roman"/>
          <w:sz w:val="24"/>
          <w:szCs w:val="24"/>
        </w:rPr>
        <w:t xml:space="preserve"> (2017), 86-129.</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sidRPr="00814838">
        <w:rPr>
          <w:rFonts w:ascii="Times New Roman" w:hAnsi="Times New Roman" w:cs="Times New Roman"/>
          <w:b/>
          <w:sz w:val="24"/>
          <w:szCs w:val="24"/>
        </w:rPr>
        <w:t>September 21 (Th)</w:t>
      </w:r>
      <w:r w:rsidRPr="00814838">
        <w:rPr>
          <w:rFonts w:ascii="Times New Roman" w:hAnsi="Times New Roman" w:cs="Times New Roman"/>
          <w:b/>
          <w:sz w:val="24"/>
          <w:szCs w:val="24"/>
        </w:rPr>
        <w:tab/>
      </w:r>
      <w:r w:rsidRPr="00814838">
        <w:rPr>
          <w:rFonts w:ascii="Times New Roman" w:hAnsi="Times New Roman" w:cs="Times New Roman"/>
          <w:b/>
          <w:sz w:val="24"/>
          <w:szCs w:val="24"/>
        </w:rPr>
        <w:tab/>
      </w:r>
      <w:r>
        <w:rPr>
          <w:rFonts w:ascii="Times New Roman" w:hAnsi="Times New Roman" w:cs="Times New Roman"/>
          <w:b/>
          <w:sz w:val="24"/>
          <w:szCs w:val="24"/>
        </w:rPr>
        <w:t>No Class (Reading Day)</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September 26 (Tu)</w:t>
      </w:r>
      <w:r>
        <w:rPr>
          <w:rFonts w:ascii="Times New Roman" w:hAnsi="Times New Roman" w:cs="Times New Roman"/>
          <w:b/>
          <w:sz w:val="24"/>
          <w:szCs w:val="24"/>
        </w:rPr>
        <w:tab/>
      </w:r>
      <w:r>
        <w:rPr>
          <w:rFonts w:ascii="Times New Roman" w:hAnsi="Times New Roman" w:cs="Times New Roman"/>
          <w:b/>
          <w:sz w:val="24"/>
          <w:szCs w:val="24"/>
        </w:rPr>
        <w:tab/>
        <w:t>The Battle of Algiers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James McDougall, “Revolution and Civil War, 1942-1962” (Chapter 5), </w:t>
      </w:r>
      <w:r w:rsidRPr="00090B59">
        <w:rPr>
          <w:rFonts w:ascii="Times New Roman" w:hAnsi="Times New Roman" w:cs="Times New Roman"/>
          <w:i/>
          <w:sz w:val="24"/>
          <w:szCs w:val="24"/>
        </w:rPr>
        <w:t>A History of Algeria</w:t>
      </w:r>
      <w:r>
        <w:rPr>
          <w:rFonts w:ascii="Times New Roman" w:hAnsi="Times New Roman" w:cs="Times New Roman"/>
          <w:sz w:val="24"/>
          <w:szCs w:val="24"/>
        </w:rPr>
        <w:t xml:space="preserve"> (2017), 179-234.</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Watch the film “The Battle of Algiers” (120 minutes) at home.  The film is on Blackboard.  </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September 28 (Th)</w:t>
      </w:r>
      <w:r>
        <w:rPr>
          <w:rFonts w:ascii="Times New Roman" w:hAnsi="Times New Roman" w:cs="Times New Roman"/>
          <w:b/>
          <w:sz w:val="24"/>
          <w:szCs w:val="24"/>
        </w:rPr>
        <w:tab/>
      </w:r>
      <w:r>
        <w:rPr>
          <w:rFonts w:ascii="Times New Roman" w:hAnsi="Times New Roman" w:cs="Times New Roman"/>
          <w:b/>
          <w:sz w:val="24"/>
          <w:szCs w:val="24"/>
        </w:rPr>
        <w:tab/>
        <w:t xml:space="preserve">Nasser &amp; Arab Nationalism </w:t>
      </w:r>
    </w:p>
    <w:p w:rsidR="00334168" w:rsidRDefault="00334168" w:rsidP="00334168">
      <w:pPr>
        <w:pStyle w:val="NoSpacing"/>
        <w:rPr>
          <w:rFonts w:ascii="Times New Roman" w:hAnsi="Times New Roman" w:cs="Times New Roman"/>
          <w:sz w:val="24"/>
          <w:szCs w:val="24"/>
        </w:rPr>
      </w:pPr>
    </w:p>
    <w:p w:rsidR="00334168" w:rsidRPr="002C5C29" w:rsidRDefault="00334168" w:rsidP="00334168">
      <w:pPr>
        <w:pStyle w:val="NoSpacing"/>
        <w:rPr>
          <w:rFonts w:ascii="Times New Roman" w:hAnsi="Times New Roman" w:cs="Times New Roman"/>
          <w:sz w:val="24"/>
          <w:szCs w:val="24"/>
          <w:u w:val="single"/>
        </w:rPr>
      </w:pPr>
      <w:r w:rsidRPr="002C5C29">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286-306.</w:t>
      </w:r>
    </w:p>
    <w:p w:rsidR="00334168" w:rsidRPr="004515D7"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October 3 (Tu)</w:t>
      </w:r>
      <w:r>
        <w:rPr>
          <w:rFonts w:ascii="Times New Roman" w:hAnsi="Times New Roman" w:cs="Times New Roman"/>
          <w:b/>
          <w:sz w:val="24"/>
          <w:szCs w:val="24"/>
        </w:rPr>
        <w:tab/>
      </w:r>
      <w:r>
        <w:rPr>
          <w:rFonts w:ascii="Times New Roman" w:hAnsi="Times New Roman" w:cs="Times New Roman"/>
          <w:b/>
          <w:sz w:val="24"/>
          <w:szCs w:val="24"/>
        </w:rPr>
        <w:tab/>
        <w:t>The Culture of Egyptian Nationalism</w:t>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--“Umm Kulthum: A Voice Like Egypt” (67 min.)</w:t>
      </w:r>
    </w:p>
    <w:p w:rsidR="00334168" w:rsidRDefault="00334168" w:rsidP="00334168">
      <w:pPr>
        <w:pStyle w:val="NoSpacing"/>
        <w:rPr>
          <w:rFonts w:ascii="Times New Roman" w:hAnsi="Times New Roman" w:cs="Times New Roman"/>
          <w:b/>
          <w:sz w:val="24"/>
          <w:szCs w:val="24"/>
        </w:rPr>
      </w:pPr>
    </w:p>
    <w:p w:rsidR="00334168" w:rsidRPr="004515D7" w:rsidRDefault="00334168" w:rsidP="00334168">
      <w:pPr>
        <w:pStyle w:val="NoSpacing"/>
        <w:rPr>
          <w:rFonts w:ascii="Times New Roman" w:hAnsi="Times New Roman" w:cs="Times New Roman"/>
          <w:sz w:val="24"/>
          <w:szCs w:val="24"/>
          <w:u w:val="single"/>
        </w:rPr>
      </w:pPr>
      <w:r w:rsidRPr="004515D7">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Mervat F. Hatem, “Economic and Political Liberation in Egypt and the Demise of State Feminism,” </w:t>
      </w:r>
      <w:r w:rsidRPr="00E62676">
        <w:rPr>
          <w:rFonts w:ascii="Times New Roman" w:hAnsi="Times New Roman" w:cs="Times New Roman"/>
          <w:i/>
          <w:sz w:val="24"/>
          <w:szCs w:val="24"/>
        </w:rPr>
        <w:t>International Journal of Middle East Studies</w:t>
      </w:r>
      <w:r>
        <w:rPr>
          <w:rFonts w:ascii="Times New Roman" w:hAnsi="Times New Roman" w:cs="Times New Roman"/>
          <w:sz w:val="24"/>
          <w:szCs w:val="24"/>
        </w:rPr>
        <w:t xml:space="preserve"> 24, no. 2 (1992): 231-251.  (available via Purdue Libraries)</w:t>
      </w:r>
    </w:p>
    <w:p w:rsidR="00334168" w:rsidRPr="004515D7"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October 5 (Th)</w:t>
      </w:r>
      <w:r>
        <w:rPr>
          <w:rFonts w:ascii="Times New Roman" w:hAnsi="Times New Roman" w:cs="Times New Roman"/>
          <w:b/>
          <w:sz w:val="24"/>
          <w:szCs w:val="24"/>
        </w:rPr>
        <w:tab/>
      </w:r>
      <w:r>
        <w:rPr>
          <w:rFonts w:ascii="Times New Roman" w:hAnsi="Times New Roman" w:cs="Times New Roman"/>
          <w:b/>
          <w:sz w:val="24"/>
          <w:szCs w:val="24"/>
        </w:rPr>
        <w:tab/>
        <w:t>Midterm Exam!</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October 10 (Tu)</w:t>
      </w:r>
      <w:r>
        <w:rPr>
          <w:rFonts w:ascii="Times New Roman" w:hAnsi="Times New Roman" w:cs="Times New Roman"/>
          <w:b/>
          <w:sz w:val="24"/>
          <w:szCs w:val="24"/>
        </w:rPr>
        <w:tab/>
      </w:r>
      <w:r>
        <w:rPr>
          <w:rFonts w:ascii="Times New Roman" w:hAnsi="Times New Roman" w:cs="Times New Roman"/>
          <w:b/>
          <w:sz w:val="24"/>
          <w:szCs w:val="24"/>
        </w:rPr>
        <w:tab/>
        <w:t>October Break!</w:t>
      </w:r>
    </w:p>
    <w:p w:rsidR="00334168" w:rsidRPr="00A0164E"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October 12 (Th)</w:t>
      </w:r>
      <w:r>
        <w:rPr>
          <w:rFonts w:ascii="Times New Roman" w:hAnsi="Times New Roman" w:cs="Times New Roman"/>
          <w:b/>
          <w:sz w:val="24"/>
          <w:szCs w:val="24"/>
        </w:rPr>
        <w:tab/>
      </w:r>
      <w:r>
        <w:rPr>
          <w:rFonts w:ascii="Times New Roman" w:hAnsi="Times New Roman" w:cs="Times New Roman"/>
          <w:b/>
          <w:sz w:val="24"/>
          <w:szCs w:val="24"/>
        </w:rPr>
        <w:tab/>
        <w:t>The Arab-Israeli Conflict, 1948-1982</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Pr="00FF5654" w:rsidRDefault="00334168" w:rsidP="00334168">
      <w:pPr>
        <w:pStyle w:val="NoSpacing"/>
        <w:rPr>
          <w:rFonts w:ascii="Times New Roman" w:hAnsi="Times New Roman" w:cs="Times New Roman"/>
          <w:sz w:val="24"/>
          <w:szCs w:val="24"/>
        </w:rPr>
      </w:pPr>
      <w:r>
        <w:rPr>
          <w:rFonts w:ascii="Times New Roman" w:hAnsi="Times New Roman" w:cs="Times New Roman"/>
          <w:i/>
          <w:sz w:val="24"/>
          <w:szCs w:val="24"/>
        </w:rPr>
        <w:t>A History of the Modern Middle East</w:t>
      </w:r>
      <w:r>
        <w:rPr>
          <w:rFonts w:ascii="Times New Roman" w:hAnsi="Times New Roman" w:cs="Times New Roman"/>
          <w:sz w:val="24"/>
          <w:szCs w:val="24"/>
        </w:rPr>
        <w:t>, 226-256, 328-349 and 451-473.</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sidRPr="00A0164E">
        <w:rPr>
          <w:rFonts w:ascii="Times New Roman" w:hAnsi="Times New Roman" w:cs="Times New Roman"/>
          <w:b/>
          <w:sz w:val="24"/>
          <w:szCs w:val="24"/>
        </w:rPr>
        <w:t>October 17 (Tu)</w:t>
      </w:r>
      <w:r w:rsidRPr="00A0164E">
        <w:rPr>
          <w:rFonts w:ascii="Times New Roman" w:hAnsi="Times New Roman" w:cs="Times New Roman"/>
          <w:b/>
          <w:sz w:val="24"/>
          <w:szCs w:val="24"/>
        </w:rPr>
        <w:tab/>
      </w:r>
      <w:r w:rsidRPr="00A0164E">
        <w:rPr>
          <w:rFonts w:ascii="Times New Roman" w:hAnsi="Times New Roman" w:cs="Times New Roman"/>
          <w:b/>
          <w:sz w:val="24"/>
          <w:szCs w:val="24"/>
        </w:rPr>
        <w:tab/>
      </w:r>
      <w:bookmarkStart w:id="1" w:name="_Hlk490470956"/>
      <w:r>
        <w:rPr>
          <w:rFonts w:ascii="Times New Roman" w:hAnsi="Times New Roman" w:cs="Times New Roman"/>
          <w:b/>
          <w:sz w:val="24"/>
          <w:szCs w:val="24"/>
        </w:rPr>
        <w:t>The First Intifada</w:t>
      </w:r>
    </w:p>
    <w:p w:rsidR="00334168" w:rsidRDefault="00334168" w:rsidP="00334168">
      <w:pPr>
        <w:pStyle w:val="NoSpacing"/>
        <w:rPr>
          <w:rFonts w:ascii="Times New Roman" w:hAnsi="Times New Roman" w:cs="Times New Roman"/>
          <w:sz w:val="24"/>
          <w:szCs w:val="24"/>
        </w:rPr>
      </w:pPr>
    </w:p>
    <w:p w:rsidR="00334168" w:rsidRPr="00395006"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“Umm Abdullah and Samira” in </w:t>
      </w:r>
      <w:r w:rsidRPr="00F763C2">
        <w:rPr>
          <w:rFonts w:ascii="Times New Roman" w:hAnsi="Times New Roman" w:cs="Times New Roman"/>
          <w:i/>
          <w:sz w:val="24"/>
          <w:szCs w:val="24"/>
        </w:rPr>
        <w:t>Three Mothers and Three Daughters</w:t>
      </w:r>
      <w:r>
        <w:rPr>
          <w:rFonts w:ascii="Times New Roman" w:hAnsi="Times New Roman" w:cs="Times New Roman"/>
          <w:i/>
          <w:sz w:val="24"/>
          <w:szCs w:val="24"/>
        </w:rPr>
        <w:t>: Palestinian Women’s Stories</w:t>
      </w:r>
      <w:r>
        <w:rPr>
          <w:rFonts w:ascii="Times New Roman" w:hAnsi="Times New Roman" w:cs="Times New Roman"/>
          <w:sz w:val="24"/>
          <w:szCs w:val="24"/>
        </w:rPr>
        <w:t xml:space="preserve">, Michael Gorkin and Rafiqa Othman (Other Press, 1996), 83-155.  </w:t>
      </w:r>
    </w:p>
    <w:p w:rsidR="00334168" w:rsidRPr="00A0164E" w:rsidRDefault="00334168" w:rsidP="00334168">
      <w:pPr>
        <w:pStyle w:val="NoSpacing"/>
        <w:rPr>
          <w:rFonts w:ascii="Times New Roman" w:hAnsi="Times New Roman" w:cs="Times New Roman"/>
          <w:sz w:val="24"/>
          <w:szCs w:val="24"/>
        </w:rPr>
      </w:pPr>
    </w:p>
    <w:bookmarkEnd w:id="1"/>
    <w:p w:rsidR="00334168" w:rsidRPr="00A0164E" w:rsidRDefault="00334168" w:rsidP="00334168">
      <w:pPr>
        <w:pStyle w:val="NoSpacing"/>
        <w:rPr>
          <w:rFonts w:ascii="Times New Roman" w:hAnsi="Times New Roman" w:cs="Times New Roman"/>
          <w:b/>
          <w:sz w:val="24"/>
          <w:szCs w:val="24"/>
        </w:rPr>
      </w:pPr>
      <w:r w:rsidRPr="00A0164E">
        <w:rPr>
          <w:rFonts w:ascii="Times New Roman" w:hAnsi="Times New Roman" w:cs="Times New Roman"/>
          <w:b/>
          <w:sz w:val="24"/>
          <w:szCs w:val="24"/>
        </w:rPr>
        <w:t xml:space="preserve">October 19 (Th) </w:t>
      </w:r>
      <w:r w:rsidRPr="00A0164E">
        <w:rPr>
          <w:rFonts w:ascii="Times New Roman" w:hAnsi="Times New Roman" w:cs="Times New Roman"/>
          <w:b/>
          <w:sz w:val="24"/>
          <w:szCs w:val="24"/>
        </w:rPr>
        <w:tab/>
      </w:r>
      <w:r w:rsidRPr="00A0164E">
        <w:rPr>
          <w:rFonts w:ascii="Times New Roman" w:hAnsi="Times New Roman" w:cs="Times New Roman"/>
          <w:b/>
          <w:sz w:val="24"/>
          <w:szCs w:val="24"/>
        </w:rPr>
        <w:tab/>
      </w:r>
      <w:r>
        <w:rPr>
          <w:rFonts w:ascii="Times New Roman" w:hAnsi="Times New Roman" w:cs="Times New Roman"/>
          <w:b/>
          <w:sz w:val="24"/>
          <w:szCs w:val="24"/>
        </w:rPr>
        <w:t>The Second Intifadah</w:t>
      </w:r>
      <w:r w:rsidRPr="00A0164E">
        <w:rPr>
          <w:rFonts w:ascii="Times New Roman" w:hAnsi="Times New Roman" w:cs="Times New Roman"/>
          <w:b/>
          <w:sz w:val="24"/>
          <w:szCs w:val="24"/>
        </w:rPr>
        <w:t xml:space="preserve"> </w:t>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--“Rana’s Wedding” (86 minutes)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485-491.</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October 24 (Tu)</w:t>
      </w:r>
      <w:r>
        <w:rPr>
          <w:rFonts w:ascii="Times New Roman" w:hAnsi="Times New Roman" w:cs="Times New Roman"/>
          <w:b/>
          <w:sz w:val="24"/>
          <w:szCs w:val="24"/>
        </w:rPr>
        <w:tab/>
      </w:r>
      <w:r>
        <w:rPr>
          <w:rFonts w:ascii="Times New Roman" w:hAnsi="Times New Roman" w:cs="Times New Roman"/>
          <w:b/>
          <w:sz w:val="24"/>
          <w:szCs w:val="24"/>
        </w:rPr>
        <w:tab/>
        <w:t xml:space="preserve">Iran: from the Shah to the Ayatollah </w:t>
      </w:r>
    </w:p>
    <w:p w:rsidR="00334168" w:rsidRDefault="00334168" w:rsidP="00334168">
      <w:pPr>
        <w:pStyle w:val="NoSpacing"/>
        <w:rPr>
          <w:rFonts w:ascii="Times New Roman" w:hAnsi="Times New Roman" w:cs="Times New Roman"/>
          <w:b/>
          <w:sz w:val="24"/>
          <w:szCs w:val="24"/>
        </w:rPr>
      </w:pPr>
    </w:p>
    <w:p w:rsidR="00334168" w:rsidRPr="00FF5654" w:rsidRDefault="00334168" w:rsidP="00334168">
      <w:pPr>
        <w:pStyle w:val="NoSpacing"/>
        <w:rPr>
          <w:rFonts w:ascii="Times New Roman" w:hAnsi="Times New Roman" w:cs="Times New Roman"/>
          <w:sz w:val="24"/>
          <w:szCs w:val="24"/>
          <w:u w:val="single"/>
        </w:rPr>
      </w:pPr>
      <w:r w:rsidRPr="00FF5654">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176-181, 273-283 and 355-377.</w:t>
      </w:r>
    </w:p>
    <w:p w:rsidR="00334168" w:rsidRDefault="00334168" w:rsidP="00334168">
      <w:pPr>
        <w:pStyle w:val="NoSpacing"/>
        <w:rPr>
          <w:rFonts w:ascii="Times New Roman" w:hAnsi="Times New Roman" w:cs="Times New Roman"/>
          <w:b/>
          <w:sz w:val="24"/>
          <w:szCs w:val="24"/>
        </w:rPr>
      </w:pPr>
    </w:p>
    <w:p w:rsidR="00334168" w:rsidRPr="002C5C29"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October 26 (Th)</w:t>
      </w:r>
      <w:r>
        <w:rPr>
          <w:rFonts w:ascii="Times New Roman" w:hAnsi="Times New Roman" w:cs="Times New Roman"/>
          <w:b/>
          <w:sz w:val="24"/>
          <w:szCs w:val="24"/>
        </w:rPr>
        <w:tab/>
      </w:r>
      <w:r>
        <w:rPr>
          <w:rFonts w:ascii="Times New Roman" w:hAnsi="Times New Roman" w:cs="Times New Roman"/>
          <w:b/>
          <w:sz w:val="24"/>
          <w:szCs w:val="24"/>
        </w:rPr>
        <w:tab/>
      </w:r>
      <w:r w:rsidRPr="002C5C29">
        <w:rPr>
          <w:rFonts w:ascii="Times New Roman" w:hAnsi="Times New Roman" w:cs="Times New Roman"/>
          <w:b/>
          <w:sz w:val="24"/>
          <w:szCs w:val="24"/>
        </w:rPr>
        <w:t>Women in Iran</w:t>
      </w: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--“Divorce Iranian Style” (75 minutes)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Pr="00FF5654" w:rsidRDefault="00334168" w:rsidP="00334168">
      <w:pPr>
        <w:pStyle w:val="NoSpacing"/>
        <w:rPr>
          <w:rFonts w:ascii="Times New Roman" w:hAnsi="Times New Roman" w:cs="Times New Roman"/>
          <w:sz w:val="24"/>
          <w:szCs w:val="24"/>
          <w:u w:val="single"/>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Deniz Kandiyoti, “Bargaining with Patriarchy,” </w:t>
      </w:r>
      <w:r w:rsidRPr="00E62676">
        <w:rPr>
          <w:rFonts w:ascii="Times New Roman" w:hAnsi="Times New Roman" w:cs="Times New Roman"/>
          <w:i/>
          <w:sz w:val="24"/>
          <w:szCs w:val="24"/>
        </w:rPr>
        <w:t>Gender and Society</w:t>
      </w:r>
      <w:r>
        <w:rPr>
          <w:rFonts w:ascii="Times New Roman" w:hAnsi="Times New Roman" w:cs="Times New Roman"/>
          <w:sz w:val="24"/>
          <w:szCs w:val="24"/>
        </w:rPr>
        <w:t xml:space="preserve"> 2, no. 3 (1988): 274-290.</w:t>
      </w:r>
    </w:p>
    <w:p w:rsidR="00334168" w:rsidRPr="002C5C29"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sidRPr="002C5C29">
        <w:rPr>
          <w:rFonts w:ascii="Times New Roman" w:hAnsi="Times New Roman" w:cs="Times New Roman"/>
          <w:b/>
          <w:sz w:val="24"/>
          <w:szCs w:val="24"/>
        </w:rPr>
        <w:t>October 31 (Tu)</w:t>
      </w:r>
      <w:r>
        <w:rPr>
          <w:rFonts w:ascii="Times New Roman" w:hAnsi="Times New Roman" w:cs="Times New Roman"/>
          <w:b/>
          <w:sz w:val="24"/>
          <w:szCs w:val="24"/>
        </w:rPr>
        <w:tab/>
      </w:r>
      <w:r>
        <w:rPr>
          <w:rFonts w:ascii="Times New Roman" w:hAnsi="Times New Roman" w:cs="Times New Roman"/>
          <w:b/>
          <w:sz w:val="24"/>
          <w:szCs w:val="24"/>
        </w:rPr>
        <w:tab/>
        <w:t>Patriarchal Bargains in the Middle East?</w:t>
      </w:r>
      <w:r w:rsidRPr="002C5C29">
        <w:rPr>
          <w:rFonts w:ascii="Times New Roman" w:hAnsi="Times New Roman" w:cs="Times New Roman"/>
          <w:b/>
          <w:sz w:val="24"/>
          <w:szCs w:val="24"/>
        </w:rPr>
        <w:tab/>
      </w:r>
      <w:r w:rsidRPr="002C5C29">
        <w:rPr>
          <w:rFonts w:ascii="Times New Roman" w:hAnsi="Times New Roman" w:cs="Times New Roman"/>
          <w:b/>
          <w:sz w:val="24"/>
          <w:szCs w:val="24"/>
        </w:rPr>
        <w:tab/>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November 2 (Th)</w:t>
      </w:r>
      <w:r>
        <w:rPr>
          <w:rFonts w:ascii="Times New Roman" w:hAnsi="Times New Roman" w:cs="Times New Roman"/>
          <w:b/>
          <w:sz w:val="24"/>
          <w:szCs w:val="24"/>
        </w:rPr>
        <w:tab/>
      </w:r>
      <w:r>
        <w:rPr>
          <w:rFonts w:ascii="Times New Roman" w:hAnsi="Times New Roman" w:cs="Times New Roman"/>
          <w:b/>
          <w:sz w:val="24"/>
          <w:szCs w:val="24"/>
        </w:rPr>
        <w:tab/>
        <w:t>Baathist Iraq</w:t>
      </w:r>
    </w:p>
    <w:p w:rsidR="00334168" w:rsidRDefault="00334168" w:rsidP="00334168">
      <w:pPr>
        <w:pStyle w:val="NoSpacing"/>
        <w:rPr>
          <w:rFonts w:ascii="Times New Roman" w:hAnsi="Times New Roman" w:cs="Times New Roman"/>
          <w:b/>
          <w:sz w:val="24"/>
          <w:szCs w:val="24"/>
        </w:rPr>
      </w:pPr>
    </w:p>
    <w:p w:rsidR="00334168" w:rsidRPr="00FF5654" w:rsidRDefault="00334168" w:rsidP="00334168">
      <w:pPr>
        <w:pStyle w:val="NoSpacing"/>
        <w:rPr>
          <w:rFonts w:ascii="Times New Roman" w:hAnsi="Times New Roman" w:cs="Times New Roman"/>
          <w:sz w:val="24"/>
          <w:szCs w:val="24"/>
          <w:u w:val="single"/>
        </w:rPr>
      </w:pPr>
      <w:r w:rsidRPr="00FF5654">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433-445.</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November 7 (Tu)</w:t>
      </w:r>
      <w:r>
        <w:rPr>
          <w:rFonts w:ascii="Times New Roman" w:hAnsi="Times New Roman" w:cs="Times New Roman"/>
          <w:b/>
          <w:sz w:val="24"/>
          <w:szCs w:val="24"/>
        </w:rPr>
        <w:tab/>
      </w:r>
      <w:r>
        <w:rPr>
          <w:rFonts w:ascii="Times New Roman" w:hAnsi="Times New Roman" w:cs="Times New Roman"/>
          <w:b/>
          <w:sz w:val="24"/>
          <w:szCs w:val="24"/>
        </w:rPr>
        <w:tab/>
      </w:r>
      <w:r w:rsidRPr="002C5C29">
        <w:rPr>
          <w:rFonts w:ascii="Times New Roman" w:hAnsi="Times New Roman" w:cs="Times New Roman"/>
          <w:b/>
          <w:sz w:val="24"/>
          <w:szCs w:val="24"/>
        </w:rPr>
        <w:t>Persian Gulf War, 1991</w:t>
      </w:r>
    </w:p>
    <w:p w:rsidR="00334168" w:rsidRDefault="00334168" w:rsidP="00334168">
      <w:pPr>
        <w:pStyle w:val="NoSpacing"/>
        <w:rPr>
          <w:rFonts w:ascii="Times New Roman" w:hAnsi="Times New Roman" w:cs="Times New Roman"/>
          <w:sz w:val="24"/>
          <w:szCs w:val="24"/>
          <w:u w:val="single"/>
        </w:rPr>
      </w:pPr>
    </w:p>
    <w:p w:rsidR="00334168" w:rsidRPr="00FF5654" w:rsidRDefault="00334168" w:rsidP="00334168">
      <w:pPr>
        <w:pStyle w:val="NoSpacing"/>
        <w:rPr>
          <w:rFonts w:ascii="Times New Roman" w:hAnsi="Times New Roman" w:cs="Times New Roman"/>
          <w:sz w:val="24"/>
          <w:szCs w:val="24"/>
          <w:u w:val="single"/>
        </w:rPr>
      </w:pPr>
      <w:r w:rsidRPr="00FF5654">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456-473.</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Nuha al-Radi, “The Persian Gulf War Experienced in Baghdad,”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273-278.</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Queen Noor of Jordan, “The Persian Gulf War Wreaks Regional Havoc,”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278-281.</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p>
    <w:p w:rsidR="00334168" w:rsidRPr="002C5C29"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November 9</w:t>
      </w:r>
      <w:r w:rsidRPr="002C5C29">
        <w:rPr>
          <w:rFonts w:ascii="Times New Roman" w:hAnsi="Times New Roman" w:cs="Times New Roman"/>
          <w:b/>
          <w:sz w:val="24"/>
          <w:szCs w:val="24"/>
        </w:rPr>
        <w:t xml:space="preserve"> (Th)</w:t>
      </w:r>
      <w:r w:rsidRPr="002C5C29">
        <w:rPr>
          <w:rFonts w:ascii="Times New Roman" w:hAnsi="Times New Roman" w:cs="Times New Roman"/>
          <w:b/>
          <w:sz w:val="24"/>
          <w:szCs w:val="24"/>
        </w:rPr>
        <w:tab/>
      </w:r>
      <w:r w:rsidRPr="002C5C29">
        <w:rPr>
          <w:rFonts w:ascii="Times New Roman" w:hAnsi="Times New Roman" w:cs="Times New Roman"/>
          <w:b/>
          <w:sz w:val="24"/>
          <w:szCs w:val="24"/>
        </w:rPr>
        <w:tab/>
        <w:t>The Sanctions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“Denis Halliday Protests the Sanctions Regime,”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285-287.</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“The Deleterious Effects of Sanctions on Iraqi Women,”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288-298.</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“Migraine Hussein” (Chapter 17), in </w:t>
      </w:r>
      <w:r w:rsidRPr="0038774F">
        <w:rPr>
          <w:rFonts w:ascii="Times New Roman" w:hAnsi="Times New Roman" w:cs="Times New Roman"/>
          <w:i/>
          <w:sz w:val="24"/>
          <w:szCs w:val="24"/>
        </w:rPr>
        <w:t>Madame Secretary: A Memoir</w:t>
      </w:r>
      <w:r>
        <w:rPr>
          <w:rFonts w:ascii="Times New Roman" w:hAnsi="Times New Roman" w:cs="Times New Roman"/>
          <w:sz w:val="24"/>
          <w:szCs w:val="24"/>
        </w:rPr>
        <w:t xml:space="preserve"> (Harper Perennial, 2013), 274-289.</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November 14</w:t>
      </w:r>
      <w:r w:rsidRPr="002C5C29">
        <w:rPr>
          <w:rFonts w:ascii="Times New Roman" w:hAnsi="Times New Roman" w:cs="Times New Roman"/>
          <w:b/>
          <w:sz w:val="24"/>
          <w:szCs w:val="24"/>
        </w:rPr>
        <w:t xml:space="preserve"> (Tu)</w:t>
      </w:r>
      <w:r w:rsidRPr="002C5C29">
        <w:rPr>
          <w:rFonts w:ascii="Times New Roman" w:hAnsi="Times New Roman" w:cs="Times New Roman"/>
          <w:b/>
          <w:sz w:val="24"/>
          <w:szCs w:val="24"/>
        </w:rPr>
        <w:tab/>
      </w:r>
      <w:r>
        <w:rPr>
          <w:rFonts w:ascii="Times New Roman" w:hAnsi="Times New Roman" w:cs="Times New Roman"/>
          <w:b/>
          <w:sz w:val="24"/>
          <w:szCs w:val="24"/>
        </w:rPr>
        <w:tab/>
        <w:t>Afghanistan</w:t>
      </w: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--Guest Lecture, Professor David Atkinson</w:t>
      </w:r>
    </w:p>
    <w:p w:rsidR="00334168" w:rsidRDefault="00334168" w:rsidP="00334168">
      <w:pPr>
        <w:pStyle w:val="NoSpacing"/>
        <w:rPr>
          <w:rFonts w:ascii="Times New Roman" w:hAnsi="Times New Roman" w:cs="Times New Roman"/>
          <w:sz w:val="24"/>
          <w:szCs w:val="24"/>
        </w:rPr>
      </w:pPr>
    </w:p>
    <w:p w:rsidR="00334168" w:rsidRPr="007E61AF"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Thomas Barfield, </w:t>
      </w:r>
      <w:r w:rsidRPr="00CE072A">
        <w:rPr>
          <w:rFonts w:ascii="Times New Roman" w:hAnsi="Times New Roman" w:cs="Times New Roman"/>
          <w:i/>
          <w:sz w:val="24"/>
          <w:szCs w:val="24"/>
        </w:rPr>
        <w:t>Afghanistan: A Cultural and Political History</w:t>
      </w:r>
      <w:r>
        <w:rPr>
          <w:rFonts w:ascii="Times New Roman" w:hAnsi="Times New Roman" w:cs="Times New Roman"/>
          <w:sz w:val="24"/>
          <w:szCs w:val="24"/>
        </w:rPr>
        <w:t xml:space="preserve"> (Princeton University Press, 2012), 164-173 and 233-254.  </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pPr>
      <w:r>
        <w:rPr>
          <w:rFonts w:ascii="Times New Roman" w:hAnsi="Times New Roman" w:cs="Times New Roman"/>
          <w:b/>
          <w:sz w:val="24"/>
          <w:szCs w:val="24"/>
        </w:rPr>
        <w:t>November 16</w:t>
      </w:r>
      <w:r w:rsidRPr="002C5C29">
        <w:rPr>
          <w:rFonts w:ascii="Times New Roman" w:hAnsi="Times New Roman" w:cs="Times New Roman"/>
          <w:b/>
          <w:sz w:val="24"/>
          <w:szCs w:val="24"/>
        </w:rPr>
        <w:t xml:space="preserve"> (Th)</w:t>
      </w:r>
      <w:r w:rsidRPr="002C5C29">
        <w:rPr>
          <w:rFonts w:ascii="Times New Roman" w:hAnsi="Times New Roman" w:cs="Times New Roman"/>
          <w:b/>
          <w:sz w:val="24"/>
          <w:szCs w:val="24"/>
        </w:rPr>
        <w:tab/>
      </w:r>
      <w:r w:rsidRPr="002C5C29">
        <w:rPr>
          <w:rFonts w:ascii="Times New Roman" w:hAnsi="Times New Roman" w:cs="Times New Roman"/>
          <w:b/>
          <w:sz w:val="24"/>
          <w:szCs w:val="24"/>
        </w:rPr>
        <w:tab/>
      </w:r>
      <w:r>
        <w:rPr>
          <w:rFonts w:ascii="Times New Roman" w:hAnsi="Times New Roman" w:cs="Times New Roman"/>
          <w:b/>
          <w:sz w:val="24"/>
          <w:szCs w:val="24"/>
        </w:rPr>
        <w:t>War for (or against?) Women in Afghanistan</w:t>
      </w:r>
    </w:p>
    <w:p w:rsidR="00334168" w:rsidRDefault="00334168" w:rsidP="00334168">
      <w:pPr>
        <w:pStyle w:val="NoSpacing"/>
        <w:rPr>
          <w:rFonts w:ascii="Times New Roman" w:hAnsi="Times New Roman" w:cs="Times New Roman"/>
          <w:sz w:val="24"/>
          <w:szCs w:val="24"/>
        </w:rPr>
      </w:pPr>
    </w:p>
    <w:p w:rsidR="00334168" w:rsidRPr="00863CBF"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Saba Gul Khattak, “Afghan Women: Bombed to Be Liberated?,” Middle East Research and Information Report 32, no. 222 (2002):  </w:t>
      </w:r>
      <w:hyperlink r:id="rId16" w:history="1">
        <w:r w:rsidRPr="008007DF">
          <w:rPr>
            <w:rStyle w:val="Hyperlink"/>
            <w:rFonts w:ascii="Times New Roman" w:hAnsi="Times New Roman"/>
            <w:sz w:val="24"/>
            <w:szCs w:val="24"/>
          </w:rPr>
          <w:t>http://www.merip.org/mer/mer222/afghan-women</w:t>
        </w:r>
      </w:hyperlink>
      <w:r>
        <w:rPr>
          <w:rFonts w:ascii="Times New Roman" w:hAnsi="Times New Roman" w:cs="Times New Roman"/>
          <w:sz w:val="24"/>
          <w:szCs w:val="24"/>
        </w:rPr>
        <w:t xml:space="preserve"> .  </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Kelly J. Shannon, “Muslim Women’s Human Rights and US Foreign Policy since 9/11” (Chapter 7), in US Foreign Policy and Muslim Women’s Human Rights (UPENN Press, 2017), TBA.  </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November 21 (Tu)</w:t>
      </w:r>
      <w:r>
        <w:rPr>
          <w:rFonts w:ascii="Times New Roman" w:hAnsi="Times New Roman" w:cs="Times New Roman"/>
          <w:b/>
          <w:sz w:val="24"/>
          <w:szCs w:val="24"/>
        </w:rPr>
        <w:tab/>
      </w:r>
      <w:r>
        <w:rPr>
          <w:rFonts w:ascii="Times New Roman" w:hAnsi="Times New Roman" w:cs="Times New Roman"/>
          <w:b/>
          <w:sz w:val="24"/>
          <w:szCs w:val="24"/>
        </w:rPr>
        <w:tab/>
        <w:t>Day Off!</w:t>
      </w:r>
    </w:p>
    <w:p w:rsidR="00334168" w:rsidRDefault="00334168" w:rsidP="00334168">
      <w:pPr>
        <w:pStyle w:val="NoSpacing"/>
        <w:rPr>
          <w:rFonts w:ascii="Times New Roman" w:hAnsi="Times New Roman" w:cs="Times New Roman"/>
          <w:b/>
          <w:sz w:val="24"/>
          <w:szCs w:val="24"/>
        </w:rPr>
      </w:pPr>
    </w:p>
    <w:p w:rsidR="00334168" w:rsidRPr="003039D1"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November 23 (Th)</w:t>
      </w:r>
      <w:r>
        <w:rPr>
          <w:rFonts w:ascii="Times New Roman" w:hAnsi="Times New Roman" w:cs="Times New Roman"/>
          <w:b/>
          <w:sz w:val="24"/>
          <w:szCs w:val="24"/>
        </w:rPr>
        <w:tab/>
      </w:r>
      <w:r>
        <w:rPr>
          <w:rFonts w:ascii="Times New Roman" w:hAnsi="Times New Roman" w:cs="Times New Roman"/>
          <w:b/>
          <w:sz w:val="24"/>
          <w:szCs w:val="24"/>
        </w:rPr>
        <w:tab/>
        <w:t>Day Off!</w:t>
      </w:r>
    </w:p>
    <w:p w:rsidR="00334168" w:rsidRPr="002C5C29"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November 28</w:t>
      </w:r>
      <w:r w:rsidRPr="002C5C29">
        <w:rPr>
          <w:rFonts w:ascii="Times New Roman" w:hAnsi="Times New Roman" w:cs="Times New Roman"/>
          <w:b/>
          <w:sz w:val="24"/>
          <w:szCs w:val="24"/>
        </w:rPr>
        <w:t xml:space="preserve"> (Tu)</w:t>
      </w:r>
      <w:r w:rsidRPr="002C5C29">
        <w:rPr>
          <w:rFonts w:ascii="Times New Roman" w:hAnsi="Times New Roman" w:cs="Times New Roman"/>
          <w:b/>
          <w:sz w:val="24"/>
          <w:szCs w:val="24"/>
        </w:rPr>
        <w:tab/>
      </w:r>
      <w:r w:rsidRPr="002C5C29">
        <w:rPr>
          <w:rFonts w:ascii="Times New Roman" w:hAnsi="Times New Roman" w:cs="Times New Roman"/>
          <w:b/>
          <w:sz w:val="24"/>
          <w:szCs w:val="24"/>
        </w:rPr>
        <w:tab/>
      </w:r>
      <w:r w:rsidRPr="003039D1">
        <w:rPr>
          <w:rFonts w:ascii="Times New Roman" w:hAnsi="Times New Roman" w:cs="Times New Roman"/>
          <w:b/>
          <w:sz w:val="24"/>
          <w:szCs w:val="24"/>
        </w:rPr>
        <w:t>The Invasion of Iraq</w:t>
      </w:r>
    </w:p>
    <w:p w:rsidR="00334168" w:rsidRDefault="00334168" w:rsidP="00334168">
      <w:pPr>
        <w:pStyle w:val="NoSpacing"/>
        <w:rPr>
          <w:rFonts w:ascii="Times New Roman" w:hAnsi="Times New Roman" w:cs="Times New Roman"/>
          <w:b/>
          <w:sz w:val="24"/>
          <w:szCs w:val="24"/>
        </w:rPr>
      </w:pPr>
    </w:p>
    <w:p w:rsidR="00334168" w:rsidRPr="0038774F" w:rsidRDefault="00334168" w:rsidP="00334168">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sz w:val="24"/>
          <w:szCs w:val="24"/>
        </w:rPr>
        <w:t xml:space="preserve">Cleveland and Bunton, </w:t>
      </w:r>
      <w:r>
        <w:rPr>
          <w:rFonts w:ascii="Times New Roman" w:hAnsi="Times New Roman" w:cs="Times New Roman"/>
          <w:i/>
          <w:sz w:val="24"/>
          <w:szCs w:val="24"/>
        </w:rPr>
        <w:t>A History of the Modern Middle East</w:t>
      </w:r>
      <w:r>
        <w:rPr>
          <w:rFonts w:ascii="Times New Roman" w:hAnsi="Times New Roman" w:cs="Times New Roman"/>
          <w:sz w:val="24"/>
          <w:szCs w:val="24"/>
        </w:rPr>
        <w:t>, 524-532.</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 Sunni Insurgent,”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347-352.</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Shi’i Disillusionment,”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353-357.</w:t>
      </w:r>
    </w:p>
    <w:p w:rsidR="00334168" w:rsidRDefault="00334168" w:rsidP="00334168">
      <w:pPr>
        <w:pStyle w:val="NoSpacing"/>
        <w:rPr>
          <w:rFonts w:ascii="Times New Roman" w:hAnsi="Times New Roman" w:cs="Times New Roman"/>
          <w:sz w:val="24"/>
          <w:szCs w:val="24"/>
        </w:rPr>
      </w:pPr>
    </w:p>
    <w:p w:rsidR="00334168" w:rsidRPr="0038774F"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“The Lot of Children,” in Stacy E. Holden, ed., </w:t>
      </w:r>
      <w:r w:rsidRPr="00815939">
        <w:rPr>
          <w:rFonts w:ascii="Times New Roman" w:hAnsi="Times New Roman" w:cs="Times New Roman"/>
          <w:i/>
          <w:sz w:val="24"/>
          <w:szCs w:val="24"/>
        </w:rPr>
        <w:t>A Documentary History of Modern Iraq</w:t>
      </w:r>
      <w:r>
        <w:rPr>
          <w:rFonts w:ascii="Times New Roman" w:hAnsi="Times New Roman" w:cs="Times New Roman"/>
          <w:sz w:val="24"/>
          <w:szCs w:val="24"/>
        </w:rPr>
        <w:t xml:space="preserve"> (University Press of Florida, 2011), 367- 370.</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Pr>
          <w:rFonts w:ascii="Times New Roman" w:hAnsi="Times New Roman" w:cs="Times New Roman"/>
          <w:b/>
          <w:sz w:val="24"/>
          <w:szCs w:val="24"/>
        </w:rPr>
        <w:t>November 30 (Th</w:t>
      </w:r>
      <w:r w:rsidRPr="003039D1">
        <w:rPr>
          <w:rFonts w:ascii="Times New Roman" w:hAnsi="Times New Roman" w:cs="Times New Roman"/>
          <w:b/>
          <w:sz w:val="24"/>
          <w:szCs w:val="24"/>
        </w:rPr>
        <w:t>)</w:t>
      </w:r>
      <w:r w:rsidRPr="003039D1">
        <w:rPr>
          <w:rFonts w:ascii="Times New Roman" w:hAnsi="Times New Roman" w:cs="Times New Roman"/>
          <w:b/>
          <w:sz w:val="24"/>
          <w:szCs w:val="24"/>
        </w:rPr>
        <w:tab/>
      </w:r>
      <w:r w:rsidRPr="003039D1">
        <w:rPr>
          <w:rFonts w:ascii="Times New Roman" w:hAnsi="Times New Roman" w:cs="Times New Roman"/>
          <w:b/>
          <w:sz w:val="24"/>
          <w:szCs w:val="24"/>
        </w:rPr>
        <w:tab/>
      </w:r>
      <w:r>
        <w:rPr>
          <w:rFonts w:ascii="Times New Roman" w:hAnsi="Times New Roman" w:cs="Times New Roman"/>
          <w:b/>
          <w:sz w:val="24"/>
          <w:szCs w:val="24"/>
        </w:rPr>
        <w:t>Exam #2</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December 5 (Tu)</w:t>
      </w:r>
      <w:r>
        <w:rPr>
          <w:rFonts w:ascii="Times New Roman" w:hAnsi="Times New Roman" w:cs="Times New Roman"/>
          <w:b/>
          <w:sz w:val="24"/>
          <w:szCs w:val="24"/>
        </w:rPr>
        <w:tab/>
      </w:r>
      <w:r>
        <w:rPr>
          <w:rFonts w:ascii="Times New Roman" w:hAnsi="Times New Roman" w:cs="Times New Roman"/>
          <w:b/>
          <w:sz w:val="24"/>
          <w:szCs w:val="24"/>
        </w:rPr>
        <w:tab/>
        <w:t>Iraqi Women under the American Occupation</w:t>
      </w:r>
    </w:p>
    <w:p w:rsidR="00334168" w:rsidRDefault="00334168" w:rsidP="00334168">
      <w:pPr>
        <w:pStyle w:val="NoSpacing"/>
        <w:rPr>
          <w:rFonts w:ascii="Times New Roman" w:hAnsi="Times New Roman" w:cs="Times New Roman"/>
          <w:b/>
          <w:sz w:val="24"/>
          <w:szCs w:val="24"/>
        </w:rPr>
      </w:pPr>
    </w:p>
    <w:p w:rsidR="00334168" w:rsidRDefault="00334168" w:rsidP="00334168">
      <w:pPr>
        <w:pStyle w:val="NoSpacing"/>
        <w:rPr>
          <w:rFonts w:ascii="Times New Roman" w:hAnsi="Times New Roman" w:cs="Times New Roman"/>
          <w:sz w:val="24"/>
          <w:szCs w:val="24"/>
        </w:rPr>
      </w:pPr>
      <w:r w:rsidRPr="003039D1">
        <w:rPr>
          <w:rFonts w:ascii="Times New Roman" w:hAnsi="Times New Roman" w:cs="Times New Roman"/>
          <w:sz w:val="24"/>
          <w:szCs w:val="24"/>
          <w:u w:val="single"/>
        </w:rPr>
        <w:t>Class Preparations</w:t>
      </w:r>
    </w:p>
    <w:p w:rsidR="00334168" w:rsidRDefault="00334168" w:rsidP="00334168">
      <w:pPr>
        <w:pStyle w:val="NoSpacing"/>
        <w:rPr>
          <w:rFonts w:ascii="Times New Roman" w:hAnsi="Times New Roman" w:cs="Times New Roman"/>
          <w:sz w:val="24"/>
          <w:szCs w:val="24"/>
        </w:rPr>
      </w:pPr>
    </w:p>
    <w:p w:rsidR="00334168" w:rsidRPr="0038774F" w:rsidRDefault="00334168" w:rsidP="00334168">
      <w:pPr>
        <w:pStyle w:val="NoSpacing"/>
        <w:rPr>
          <w:rFonts w:ascii="Times New Roman" w:hAnsi="Times New Roman" w:cs="Times New Roman"/>
          <w:sz w:val="24"/>
          <w:szCs w:val="24"/>
        </w:rPr>
      </w:pPr>
      <w:r>
        <w:rPr>
          <w:rFonts w:ascii="Times New Roman" w:hAnsi="Times New Roman" w:cs="Times New Roman"/>
          <w:sz w:val="24"/>
          <w:szCs w:val="24"/>
        </w:rPr>
        <w:t xml:space="preserve">Riverbend, </w:t>
      </w:r>
      <w:r w:rsidRPr="0038774F">
        <w:rPr>
          <w:rFonts w:ascii="Times New Roman" w:hAnsi="Times New Roman" w:cs="Times New Roman"/>
          <w:i/>
          <w:sz w:val="24"/>
          <w:szCs w:val="24"/>
        </w:rPr>
        <w:t>Baghdad Burning</w:t>
      </w:r>
      <w:r>
        <w:rPr>
          <w:rFonts w:ascii="Times New Roman" w:hAnsi="Times New Roman" w:cs="Times New Roman"/>
          <w:sz w:val="24"/>
          <w:szCs w:val="24"/>
        </w:rPr>
        <w:t>, entirety.</w:t>
      </w:r>
    </w:p>
    <w:p w:rsidR="00334168" w:rsidRDefault="00334168" w:rsidP="00334168">
      <w:pPr>
        <w:pStyle w:val="NoSpacing"/>
        <w:rPr>
          <w:rFonts w:ascii="Times New Roman" w:hAnsi="Times New Roman" w:cs="Times New Roman"/>
          <w:sz w:val="24"/>
          <w:szCs w:val="24"/>
        </w:rPr>
      </w:pPr>
    </w:p>
    <w:p w:rsidR="00334168" w:rsidRDefault="00334168" w:rsidP="00334168">
      <w:pPr>
        <w:pStyle w:val="NoSpacing"/>
        <w:rPr>
          <w:rFonts w:ascii="Times New Roman" w:hAnsi="Times New Roman" w:cs="Times New Roman"/>
          <w:b/>
          <w:sz w:val="24"/>
          <w:szCs w:val="24"/>
        </w:rPr>
      </w:pPr>
      <w:r>
        <w:rPr>
          <w:rFonts w:ascii="Times New Roman" w:hAnsi="Times New Roman" w:cs="Times New Roman"/>
          <w:b/>
          <w:sz w:val="24"/>
          <w:szCs w:val="24"/>
        </w:rPr>
        <w:t>December 7 (Th)</w:t>
      </w:r>
      <w:r>
        <w:rPr>
          <w:rFonts w:ascii="Times New Roman" w:hAnsi="Times New Roman" w:cs="Times New Roman"/>
          <w:b/>
          <w:sz w:val="24"/>
          <w:szCs w:val="24"/>
        </w:rPr>
        <w:tab/>
      </w:r>
      <w:r>
        <w:rPr>
          <w:rFonts w:ascii="Times New Roman" w:hAnsi="Times New Roman" w:cs="Times New Roman"/>
          <w:b/>
          <w:sz w:val="24"/>
          <w:szCs w:val="24"/>
        </w:rPr>
        <w:tab/>
        <w:t>Veterans of OIF (the Iraq War)</w:t>
      </w:r>
    </w:p>
    <w:p w:rsidR="00334168" w:rsidRPr="00156085" w:rsidRDefault="00334168" w:rsidP="00334168">
      <w:pPr>
        <w:pStyle w:val="NoSpacing"/>
        <w:rPr>
          <w:rFonts w:ascii="Times New Roman" w:hAnsi="Times New Roman" w:cs="Times New Roman"/>
          <w:b/>
          <w:sz w:val="24"/>
          <w:szCs w:val="24"/>
        </w:rPr>
      </w:pPr>
    </w:p>
    <w:p w:rsidR="00334168" w:rsidRPr="00156085" w:rsidRDefault="00334168" w:rsidP="00334168">
      <w:pPr>
        <w:pStyle w:val="NoSpacing"/>
        <w:rPr>
          <w:rFonts w:ascii="Times New Roman" w:hAnsi="Times New Roman" w:cs="Times New Roman"/>
          <w:sz w:val="24"/>
          <w:szCs w:val="24"/>
        </w:rPr>
      </w:pPr>
      <w:r w:rsidRPr="00156085">
        <w:rPr>
          <w:rFonts w:ascii="Times New Roman" w:hAnsi="Times New Roman" w:cs="Times New Roman"/>
          <w:sz w:val="24"/>
          <w:szCs w:val="24"/>
          <w:u w:val="single"/>
        </w:rPr>
        <w:t>Class Preparations</w:t>
      </w:r>
    </w:p>
    <w:p w:rsidR="00334168" w:rsidRPr="00156085" w:rsidRDefault="00334168" w:rsidP="00334168">
      <w:pPr>
        <w:pStyle w:val="NoSpacing"/>
        <w:rPr>
          <w:rFonts w:ascii="Times New Roman" w:hAnsi="Times New Roman" w:cs="Times New Roman"/>
          <w:sz w:val="24"/>
          <w:szCs w:val="24"/>
        </w:rPr>
      </w:pPr>
    </w:p>
    <w:p w:rsidR="00334168" w:rsidRPr="00156085" w:rsidRDefault="00334168" w:rsidP="00334168">
      <w:pPr>
        <w:pStyle w:val="NoSpacing"/>
        <w:rPr>
          <w:rFonts w:ascii="Times New Roman" w:hAnsi="Times New Roman" w:cs="Times New Roman"/>
          <w:b/>
          <w:sz w:val="24"/>
          <w:szCs w:val="24"/>
        </w:rPr>
      </w:pPr>
      <w:r>
        <w:rPr>
          <w:rFonts w:ascii="Times New Roman" w:hAnsi="Times New Roman" w:cs="Times New Roman"/>
          <w:sz w:val="24"/>
          <w:szCs w:val="24"/>
        </w:rPr>
        <w:t>LTC</w:t>
      </w:r>
      <w:r w:rsidRPr="00156085">
        <w:rPr>
          <w:rFonts w:ascii="Times New Roman" w:hAnsi="Times New Roman" w:cs="Times New Roman"/>
          <w:sz w:val="24"/>
          <w:szCs w:val="24"/>
        </w:rPr>
        <w:t xml:space="preserve">. Jim Crider, “Inside the Surge: One Commander’s Lesson in Counterinsurgency,” a working paper for </w:t>
      </w:r>
      <w:r>
        <w:rPr>
          <w:rFonts w:ascii="Times New Roman" w:hAnsi="Times New Roman" w:cs="Times New Roman"/>
          <w:sz w:val="24"/>
          <w:szCs w:val="24"/>
        </w:rPr>
        <w:t xml:space="preserve">the </w:t>
      </w:r>
      <w:r w:rsidRPr="00156085">
        <w:rPr>
          <w:rFonts w:ascii="Times New Roman" w:hAnsi="Times New Roman" w:cs="Times New Roman"/>
          <w:sz w:val="24"/>
          <w:szCs w:val="24"/>
        </w:rPr>
        <w:t>Center for New American S</w:t>
      </w:r>
      <w:r>
        <w:rPr>
          <w:rFonts w:ascii="Times New Roman" w:hAnsi="Times New Roman" w:cs="Times New Roman"/>
          <w:sz w:val="24"/>
          <w:szCs w:val="24"/>
        </w:rPr>
        <w:t>ecurity (CNAS), June 2009.</w:t>
      </w:r>
    </w:p>
    <w:p w:rsidR="00334168" w:rsidRPr="00156085" w:rsidRDefault="00334168" w:rsidP="00334168">
      <w:pPr>
        <w:pStyle w:val="NoSpacing"/>
        <w:rPr>
          <w:rFonts w:ascii="Times New Roman" w:hAnsi="Times New Roman" w:cs="Times New Roman"/>
          <w:sz w:val="24"/>
          <w:szCs w:val="24"/>
        </w:rPr>
      </w:pPr>
    </w:p>
    <w:p w:rsidR="002A3C31" w:rsidRDefault="002A3C31"/>
    <w:sectPr w:rsidR="002A3C31" w:rsidSect="00C34162">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B5" w:rsidRDefault="00BB06B5">
      <w:pPr>
        <w:spacing w:after="0" w:line="240" w:lineRule="auto"/>
      </w:pPr>
      <w:r>
        <w:separator/>
      </w:r>
    </w:p>
  </w:endnote>
  <w:endnote w:type="continuationSeparator" w:id="0">
    <w:p w:rsidR="00BB06B5" w:rsidRDefault="00BB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B5" w:rsidRDefault="00BB06B5">
      <w:pPr>
        <w:spacing w:after="0" w:line="240" w:lineRule="auto"/>
      </w:pPr>
      <w:r>
        <w:separator/>
      </w:r>
    </w:p>
  </w:footnote>
  <w:footnote w:type="continuationSeparator" w:id="0">
    <w:p w:rsidR="00BB06B5" w:rsidRDefault="00BB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6758"/>
      <w:docPartObj>
        <w:docPartGallery w:val="Page Numbers (Top of Page)"/>
        <w:docPartUnique/>
      </w:docPartObj>
    </w:sdtPr>
    <w:sdtEndPr>
      <w:rPr>
        <w:noProof/>
      </w:rPr>
    </w:sdtEndPr>
    <w:sdtContent>
      <w:p w:rsidR="00C34162" w:rsidRDefault="00334168">
        <w:pPr>
          <w:pStyle w:val="Header"/>
          <w:jc w:val="right"/>
        </w:pPr>
        <w:r>
          <w:fldChar w:fldCharType="begin"/>
        </w:r>
        <w:r>
          <w:instrText xml:space="preserve"> PAGE   \* MERGEFORMAT </w:instrText>
        </w:r>
        <w:r>
          <w:fldChar w:fldCharType="separate"/>
        </w:r>
        <w:r w:rsidR="00103859">
          <w:rPr>
            <w:noProof/>
          </w:rPr>
          <w:t>9</w:t>
        </w:r>
        <w:r>
          <w:rPr>
            <w:noProof/>
          </w:rPr>
          <w:fldChar w:fldCharType="end"/>
        </w:r>
      </w:p>
    </w:sdtContent>
  </w:sdt>
  <w:p w:rsidR="00C34162" w:rsidRDefault="0010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73630"/>
    <w:multiLevelType w:val="hybridMultilevel"/>
    <w:tmpl w:val="12AC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D063B"/>
    <w:multiLevelType w:val="hybridMultilevel"/>
    <w:tmpl w:val="5572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23F82"/>
    <w:multiLevelType w:val="hybridMultilevel"/>
    <w:tmpl w:val="534CDD0C"/>
    <w:lvl w:ilvl="0" w:tplc="04090011">
      <w:start w:val="1"/>
      <w:numFmt w:val="decimal"/>
      <w:lvlText w:val="%1)"/>
      <w:lvlJc w:val="left"/>
      <w:pPr>
        <w:tabs>
          <w:tab w:val="num" w:pos="720"/>
        </w:tabs>
        <w:ind w:left="720" w:hanging="360"/>
      </w:pPr>
      <w:rPr>
        <w:rFonts w:hint="default"/>
      </w:rPr>
    </w:lvl>
    <w:lvl w:ilvl="1" w:tplc="9F84FD6C">
      <w:start w:val="1"/>
      <w:numFmt w:val="lowerLetter"/>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1967FE"/>
    <w:multiLevelType w:val="hybridMultilevel"/>
    <w:tmpl w:val="E38E6CC8"/>
    <w:lvl w:ilvl="0" w:tplc="11E84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68"/>
    <w:rsid w:val="00103859"/>
    <w:rsid w:val="002A3C31"/>
    <w:rsid w:val="00334168"/>
    <w:rsid w:val="005D316C"/>
    <w:rsid w:val="005F2700"/>
    <w:rsid w:val="00BB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9974A-C414-4029-8E13-64A5F8AB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168"/>
    <w:pPr>
      <w:spacing w:after="0" w:line="240" w:lineRule="auto"/>
    </w:pPr>
  </w:style>
  <w:style w:type="paragraph" w:customStyle="1" w:styleId="Default">
    <w:name w:val="Default"/>
    <w:rsid w:val="003341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334168"/>
    <w:rPr>
      <w:rFonts w:cs="Times New Roman"/>
      <w:color w:val="0000FF"/>
      <w:u w:val="single"/>
    </w:rPr>
  </w:style>
  <w:style w:type="paragraph" w:styleId="Header">
    <w:name w:val="header"/>
    <w:basedOn w:val="Normal"/>
    <w:link w:val="HeaderChar"/>
    <w:uiPriority w:val="99"/>
    <w:unhideWhenUsed/>
    <w:rsid w:val="0033416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341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studentregulations/regulations_procedures/classes.html" TargetMode="External"/><Relationship Id="rId13" Type="http://schemas.openxmlformats.org/officeDocument/2006/relationships/hyperlink" Target="http://www.purdue.edu/purdue/ea_eou_statemen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today.com/story/money/personalfinance/2015/05/03/cheat-sheet-skills-college-grads-job/26574631/" TargetMode="External"/><Relationship Id="rId12" Type="http://schemas.openxmlformats.org/officeDocument/2006/relationships/hyperlink" Target="http://www.purdue.edu/report-ha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erip.org/mer/mer222/afghan-wo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policies/pages/human_resources/d_1.html" TargetMode="External"/><Relationship Id="rId5" Type="http://schemas.openxmlformats.org/officeDocument/2006/relationships/footnotes" Target="footnotes.xml"/><Relationship Id="rId15" Type="http://schemas.openxmlformats.org/officeDocument/2006/relationships/hyperlink" Target="http://www.newyorker.com/news/news-desk/ataturk-versus-erdogan-turkeys-long-struggle" TargetMode="External"/><Relationship Id="rId10" Type="http://schemas.openxmlformats.org/officeDocument/2006/relationships/hyperlink" Target="https://www.purdue.edu/odos/academic-integ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rdue.edu/univregs/" TargetMode="External"/><Relationship Id="rId14" Type="http://schemas.openxmlformats.org/officeDocument/2006/relationships/hyperlink" Target="http://foreignpolicy.com/2017/04/16/rip-turkey-1921-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2616</Words>
  <Characters>14916</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Holden</dc:creator>
  <cp:keywords/>
  <dc:description/>
  <cp:lastModifiedBy>Knoeller, Julie A</cp:lastModifiedBy>
  <cp:revision>2</cp:revision>
  <dcterms:created xsi:type="dcterms:W3CDTF">2017-08-22T12:24:00Z</dcterms:created>
  <dcterms:modified xsi:type="dcterms:W3CDTF">2017-08-22T12:24:00Z</dcterms:modified>
</cp:coreProperties>
</file>